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E864" w14:textId="77777777" w:rsidR="00F6614F" w:rsidRDefault="00F6614F" w:rsidP="00F6614F">
      <w:pPr>
        <w:spacing w:after="0"/>
        <w:contextualSpacing/>
        <w:rPr>
          <w:sz w:val="2"/>
        </w:rPr>
      </w:pPr>
    </w:p>
    <w:p w14:paraId="3D38E865" w14:textId="73A89B8C" w:rsidR="008C21BC" w:rsidRPr="008C21BC" w:rsidRDefault="008C21BC" w:rsidP="00BA476D">
      <w:pPr>
        <w:pStyle w:val="FieldHeadings"/>
      </w:pPr>
      <w:r w:rsidRPr="008C21BC">
        <w:tab/>
      </w:r>
      <w:r w:rsidR="00D10426">
        <w:t>Housing Delivery Officer-Member Working Group</w:t>
      </w:r>
    </w:p>
    <w:p w14:paraId="3D38E866" w14:textId="6D5DB1A7" w:rsidR="008C21BC" w:rsidRPr="008C21BC" w:rsidRDefault="001D7505" w:rsidP="00BA476D">
      <w:pPr>
        <w:pStyle w:val="FieldHeadings"/>
      </w:pPr>
      <w:r>
        <w:t>Date:</w:t>
      </w:r>
      <w:r w:rsidR="008C21BC" w:rsidRPr="008C21BC">
        <w:tab/>
      </w:r>
      <w:sdt>
        <w:sdtPr>
          <w:rPr>
            <w:rStyle w:val="FieldHeadingsField"/>
          </w:rPr>
          <w:alias w:val="Report Date"/>
          <w:tag w:val="Report Date"/>
          <w:id w:val="924226556"/>
          <w:placeholder>
            <w:docPart w:val="4B03BF4149E7431B91B5CDD2E95EC00C"/>
          </w:placeholder>
          <w:date w:fullDate="2024-12-19T00:00:00Z">
            <w:dateFormat w:val="dd MMMM yyyy"/>
            <w:lid w:val="en-GB"/>
            <w:storeMappedDataAs w:val="dateTime"/>
            <w:calendar w:val="gregorian"/>
          </w:date>
        </w:sdtPr>
        <w:sdtEndPr>
          <w:rPr>
            <w:rStyle w:val="FieldHeadingsField"/>
          </w:rPr>
        </w:sdtEndPr>
        <w:sdtContent>
          <w:r w:rsidR="00181F71">
            <w:rPr>
              <w:rStyle w:val="FieldHeadingsField"/>
            </w:rPr>
            <w:t>19 December 2024</w:t>
          </w:r>
        </w:sdtContent>
      </w:sdt>
    </w:p>
    <w:p w14:paraId="3D38E867" w14:textId="2930477C" w:rsidR="008C21BC" w:rsidRPr="008C21BC" w:rsidRDefault="003B18FA" w:rsidP="00BA476D">
      <w:pPr>
        <w:pStyle w:val="FieldHeadings"/>
      </w:pPr>
      <w:r>
        <w:t>Subject</w:t>
      </w:r>
      <w:r w:rsidR="008C21BC" w:rsidRPr="008C21BC">
        <w:t>:</w:t>
      </w:r>
      <w:r w:rsidR="008C21BC" w:rsidRPr="008C21BC">
        <w:tab/>
      </w:r>
      <w:sdt>
        <w:sdtPr>
          <w:alias w:val="Subject"/>
          <w:tag w:val="Subject"/>
          <w:id w:val="2110772534"/>
          <w:placeholder>
            <w:docPart w:val="17A8020A0801443AB4F23E0779B74025"/>
          </w:placeholder>
          <w:text/>
        </w:sdtPr>
        <w:sdtEndPr/>
        <w:sdtContent>
          <w:r w:rsidR="001972C9">
            <w:t xml:space="preserve">Financial </w:t>
          </w:r>
          <w:r w:rsidR="00181F71">
            <w:t xml:space="preserve">Workstream </w:t>
          </w:r>
          <w:r w:rsidR="001972C9">
            <w:t xml:space="preserve">Briefing 1 - </w:t>
          </w:r>
          <w:r w:rsidR="00D10426">
            <w:t>HRA funding for affordable Housing</w:t>
          </w:r>
        </w:sdtContent>
      </w:sdt>
    </w:p>
    <w:p w14:paraId="3D38E868" w14:textId="651EE36A" w:rsidR="00046407" w:rsidRPr="008C21BC" w:rsidRDefault="008C21BC" w:rsidP="00BA476D">
      <w:pPr>
        <w:pStyle w:val="FieldHeadings"/>
      </w:pPr>
      <w:r w:rsidRPr="008C21BC">
        <w:t>Author:</w:t>
      </w:r>
      <w:r w:rsidRPr="008C21BC">
        <w:tab/>
      </w:r>
      <w:sdt>
        <w:sdtPr>
          <w:alias w:val="Report Author"/>
          <w:tag w:val="Report Author"/>
          <w:id w:val="-183820415"/>
          <w:placeholder>
            <w:docPart w:val="438EA4C786484297861B9206A034DA93"/>
          </w:placeholder>
          <w:text/>
        </w:sdtPr>
        <w:sdtEndPr/>
        <w:sdtContent>
          <w:r w:rsidR="00D10426">
            <w:t>Brighton Fong, Interim Principal Accountant Housing</w:t>
          </w:r>
        </w:sdtContent>
      </w:sdt>
    </w:p>
    <w:p w14:paraId="3D38E869" w14:textId="77777777" w:rsidR="00114525" w:rsidRDefault="001D7505" w:rsidP="00844FFE">
      <w:pPr>
        <w:pStyle w:val="SectionHeader"/>
      </w:pPr>
      <w:r>
        <w:t>Purpose</w:t>
      </w:r>
    </w:p>
    <w:p w14:paraId="3D38E86A" w14:textId="28376039" w:rsidR="000D385F" w:rsidRDefault="00D10426" w:rsidP="00B95F71">
      <w:pPr>
        <w:pStyle w:val="NumberedParagraph"/>
      </w:pPr>
      <w:r>
        <w:t xml:space="preserve">To provide the Working Group with an </w:t>
      </w:r>
      <w:r w:rsidR="00181F71">
        <w:t xml:space="preserve">idea of how much </w:t>
      </w:r>
      <w:r>
        <w:t>financial capacity the H</w:t>
      </w:r>
      <w:r w:rsidR="00DF5D38">
        <w:t xml:space="preserve">ousing </w:t>
      </w:r>
      <w:r>
        <w:t>R</w:t>
      </w:r>
      <w:r w:rsidR="00DF5D38">
        <w:t xml:space="preserve">evenue </w:t>
      </w:r>
      <w:r>
        <w:t>A</w:t>
      </w:r>
      <w:r w:rsidR="00DF5D38">
        <w:t>ccount (HRA)</w:t>
      </w:r>
      <w:r>
        <w:t xml:space="preserve"> </w:t>
      </w:r>
      <w:proofErr w:type="gramStart"/>
      <w:r w:rsidR="00181F71">
        <w:t xml:space="preserve">has </w:t>
      </w:r>
      <w:r>
        <w:t>to</w:t>
      </w:r>
      <w:proofErr w:type="gramEnd"/>
      <w:r>
        <w:t xml:space="preserve"> increase affordable housing supply over 30 years.</w:t>
      </w:r>
    </w:p>
    <w:p w14:paraId="3D38E86B" w14:textId="77777777" w:rsidR="004662B5" w:rsidRDefault="00CA6D01" w:rsidP="004D3726">
      <w:pPr>
        <w:pStyle w:val="SectionHeader"/>
      </w:pPr>
      <w:r w:rsidRPr="00CA6D01">
        <w:t>Background</w:t>
      </w:r>
    </w:p>
    <w:p w14:paraId="27B58E5A" w14:textId="181AEBC9" w:rsidR="00A846A7" w:rsidRPr="00194AD8" w:rsidRDefault="00A846A7" w:rsidP="00A846A7">
      <w:pPr>
        <w:pStyle w:val="NumberedParagraph"/>
      </w:pPr>
      <w:r w:rsidRPr="00194AD8">
        <w:t xml:space="preserve">The Housing Revenue Account is a </w:t>
      </w:r>
      <w:r w:rsidR="00327B58" w:rsidRPr="00194AD8">
        <w:t xml:space="preserve">statutory </w:t>
      </w:r>
      <w:r w:rsidRPr="00194AD8">
        <w:t xml:space="preserve">ringfenced account for council housing. The </w:t>
      </w:r>
      <w:r w:rsidR="00327B58" w:rsidRPr="00194AD8">
        <w:t xml:space="preserve">main </w:t>
      </w:r>
      <w:r w:rsidRPr="00194AD8">
        <w:t>source</w:t>
      </w:r>
      <w:r w:rsidR="00327B58" w:rsidRPr="00194AD8">
        <w:t>s</w:t>
      </w:r>
      <w:r w:rsidRPr="00194AD8">
        <w:t xml:space="preserve"> of income </w:t>
      </w:r>
      <w:r w:rsidR="00327B58" w:rsidRPr="00194AD8">
        <w:t>are</w:t>
      </w:r>
      <w:r w:rsidRPr="00194AD8">
        <w:t xml:space="preserve"> rent</w:t>
      </w:r>
      <w:r w:rsidR="00327B58" w:rsidRPr="00194AD8">
        <w:t xml:space="preserve"> and service charge</w:t>
      </w:r>
      <w:r w:rsidRPr="00194AD8">
        <w:t>s from council tenants</w:t>
      </w:r>
      <w:r w:rsidR="00327B58" w:rsidRPr="00194AD8">
        <w:t>. The</w:t>
      </w:r>
      <w:r w:rsidRPr="00194AD8">
        <w:t xml:space="preserve"> HRA cannot be subsidised by the General Fund, nor can it subsidise the General Fund.</w:t>
      </w:r>
      <w:r w:rsidR="000C602C" w:rsidRPr="00194AD8">
        <w:t xml:space="preserve"> </w:t>
      </w:r>
      <w:r w:rsidR="00EC7254">
        <w:t>HRA o</w:t>
      </w:r>
      <w:r w:rsidR="000C602C" w:rsidRPr="00194AD8">
        <w:t>perating surpluses are preserved within the HRA and cannot be transferred to the General Fund.</w:t>
      </w:r>
    </w:p>
    <w:p w14:paraId="5BBB8B2C" w14:textId="2EEBAE89" w:rsidR="00E552AE" w:rsidRPr="00194AD8" w:rsidRDefault="00A846A7" w:rsidP="00A846A7">
      <w:pPr>
        <w:pStyle w:val="NumberedParagraph"/>
      </w:pPr>
      <w:r w:rsidRPr="00194AD8">
        <w:t xml:space="preserve">In Luton we hold </w:t>
      </w:r>
      <w:r w:rsidR="00327B58" w:rsidRPr="00194AD8">
        <w:t>circa 7,600 housing stock</w:t>
      </w:r>
      <w:r w:rsidRPr="00194AD8">
        <w:t xml:space="preserve"> </w:t>
      </w:r>
      <w:r w:rsidR="00745C1C">
        <w:t>and</w:t>
      </w:r>
      <w:r w:rsidRPr="00194AD8">
        <w:t xml:space="preserve"> </w:t>
      </w:r>
      <w:r w:rsidR="00327B58" w:rsidRPr="00194AD8">
        <w:t>about 1,700</w:t>
      </w:r>
      <w:r w:rsidRPr="00194AD8">
        <w:t xml:space="preserve"> garages in the HRA.  The rental income for</w:t>
      </w:r>
      <w:r w:rsidR="00327B58" w:rsidRPr="00194AD8">
        <w:t xml:space="preserve"> both dwellings and non-dwellings in</w:t>
      </w:r>
      <w:r w:rsidRPr="00194AD8">
        <w:t xml:space="preserve"> 2023/24 </w:t>
      </w:r>
      <w:r w:rsidR="00327B58" w:rsidRPr="00194AD8">
        <w:t>totalled</w:t>
      </w:r>
      <w:r w:rsidRPr="00194AD8">
        <w:t xml:space="preserve"> £</w:t>
      </w:r>
      <w:r w:rsidR="00327B58" w:rsidRPr="00194AD8">
        <w:t>37.8m</w:t>
      </w:r>
      <w:r w:rsidRPr="00194AD8">
        <w:t xml:space="preserve">.  </w:t>
      </w:r>
    </w:p>
    <w:p w14:paraId="6EA95760" w14:textId="182F5438" w:rsidR="000C602C" w:rsidRPr="00194AD8" w:rsidRDefault="00A846A7" w:rsidP="00A846A7">
      <w:pPr>
        <w:pStyle w:val="NumberedParagraph"/>
      </w:pPr>
      <w:r w:rsidRPr="00194AD8">
        <w:t>In 201</w:t>
      </w:r>
      <w:r w:rsidR="00E552AE" w:rsidRPr="00194AD8">
        <w:t>2</w:t>
      </w:r>
      <w:r w:rsidRPr="00194AD8">
        <w:t xml:space="preserve">, a new </w:t>
      </w:r>
      <w:r w:rsidR="00E552AE" w:rsidRPr="00194AD8">
        <w:t xml:space="preserve">national funding arrangement </w:t>
      </w:r>
      <w:r w:rsidR="00EC7254">
        <w:t xml:space="preserve">(‘self-financing’) </w:t>
      </w:r>
      <w:r w:rsidR="00E552AE" w:rsidRPr="00194AD8">
        <w:t xml:space="preserve">was announced for Housing Revenue Accounts. At </w:t>
      </w:r>
      <w:r w:rsidR="000C602C" w:rsidRPr="00194AD8">
        <w:t>that time</w:t>
      </w:r>
      <w:r w:rsidR="00E552AE" w:rsidRPr="00194AD8">
        <w:t>, Luton took on £</w:t>
      </w:r>
      <w:r w:rsidR="00693DDD" w:rsidRPr="00194AD8">
        <w:t>89</w:t>
      </w:r>
      <w:r w:rsidR="000C602C" w:rsidRPr="00194AD8">
        <w:t>.4</w:t>
      </w:r>
      <w:r w:rsidR="00693DDD" w:rsidRPr="00194AD8">
        <w:t>m</w:t>
      </w:r>
      <w:r w:rsidR="00E552AE" w:rsidRPr="00194AD8">
        <w:t xml:space="preserve"> of debt within its HRA</w:t>
      </w:r>
      <w:r w:rsidRPr="00194AD8">
        <w:t xml:space="preserve">.  </w:t>
      </w:r>
      <w:r w:rsidR="00E552AE" w:rsidRPr="00194AD8">
        <w:t xml:space="preserve">The council is continuing to </w:t>
      </w:r>
      <w:r w:rsidR="000C602C" w:rsidRPr="00194AD8">
        <w:t>meet interest expense</w:t>
      </w:r>
      <w:r w:rsidR="00E552AE" w:rsidRPr="00194AD8">
        <w:t xml:space="preserve"> from </w:t>
      </w:r>
      <w:r w:rsidR="000C602C" w:rsidRPr="00194AD8">
        <w:t>income but</w:t>
      </w:r>
      <w:r w:rsidR="00E552AE" w:rsidRPr="00194AD8">
        <w:t xml:space="preserve"> is not repaying the </w:t>
      </w:r>
      <w:r w:rsidR="000C602C" w:rsidRPr="00194AD8">
        <w:t>principal as it rolls over debt at maturity</w:t>
      </w:r>
      <w:r w:rsidR="00E552AE" w:rsidRPr="00194AD8">
        <w:t>.</w:t>
      </w:r>
      <w:r w:rsidR="00194AD8" w:rsidRPr="00194AD8">
        <w:t xml:space="preserve"> This is the practice adopted by most councils when the self-financing regime was implemented.</w:t>
      </w:r>
    </w:p>
    <w:p w14:paraId="075B0F7B" w14:textId="6536DE9C" w:rsidR="00A846A7" w:rsidRPr="00194AD8" w:rsidRDefault="00E552AE" w:rsidP="00A846A7">
      <w:pPr>
        <w:pStyle w:val="NumberedParagraph"/>
      </w:pPr>
      <w:r w:rsidRPr="00194AD8">
        <w:t xml:space="preserve">Since </w:t>
      </w:r>
      <w:r w:rsidR="000C602C" w:rsidRPr="00194AD8">
        <w:t>2012</w:t>
      </w:r>
      <w:r w:rsidRPr="00194AD8">
        <w:t>, councils have been required to undertake a 30</w:t>
      </w:r>
      <w:r w:rsidR="000C602C" w:rsidRPr="00194AD8">
        <w:t>-</w:t>
      </w:r>
      <w:r w:rsidRPr="00194AD8">
        <w:t>year business plan for the HRA</w:t>
      </w:r>
      <w:r w:rsidR="000C602C" w:rsidRPr="00194AD8">
        <w:t xml:space="preserve"> showing its sustainability over the medium to long term. Council may approve </w:t>
      </w:r>
      <w:r w:rsidR="00194AD8" w:rsidRPr="00194AD8">
        <w:t xml:space="preserve">the </w:t>
      </w:r>
      <w:r w:rsidR="000C602C" w:rsidRPr="00194AD8">
        <w:t xml:space="preserve">use of available </w:t>
      </w:r>
      <w:r w:rsidR="00194AD8" w:rsidRPr="00194AD8">
        <w:t xml:space="preserve">HRA </w:t>
      </w:r>
      <w:r w:rsidR="000C602C" w:rsidRPr="00194AD8">
        <w:t xml:space="preserve">funds to enhance </w:t>
      </w:r>
      <w:r w:rsidR="00194AD8" w:rsidRPr="00194AD8">
        <w:t>properties</w:t>
      </w:r>
      <w:r w:rsidR="000C602C" w:rsidRPr="00194AD8">
        <w:t xml:space="preserve"> or estate amenities, and to build more </w:t>
      </w:r>
      <w:r w:rsidR="000C602C" w:rsidRPr="00194AD8">
        <w:rPr>
          <w:u w:val="single"/>
        </w:rPr>
        <w:t>affordable</w:t>
      </w:r>
      <w:r w:rsidR="000C602C" w:rsidRPr="00194AD8">
        <w:t xml:space="preserve"> homes either directly or indirectly through other parties. HRA funds cannot be used to build or acquire houses</w:t>
      </w:r>
      <w:r w:rsidR="00E11039">
        <w:t xml:space="preserve"> specifically</w:t>
      </w:r>
      <w:r w:rsidR="000C602C" w:rsidRPr="00194AD8">
        <w:t xml:space="preserve"> for market rent or sale.</w:t>
      </w:r>
    </w:p>
    <w:p w14:paraId="2BEE9539" w14:textId="28C43566" w:rsidR="00E552AE" w:rsidRPr="00194AD8" w:rsidRDefault="00E552AE" w:rsidP="0025403A">
      <w:pPr>
        <w:pStyle w:val="NumberedParagraph"/>
      </w:pPr>
      <w:r w:rsidRPr="00194AD8">
        <w:t>Additional borrowing has been allowed since 2018, and a main use of this borrowing is new affordable council homes. The council has been funding new council housing primarily through borrowing and capital reserves subsidised by use of Right</w:t>
      </w:r>
      <w:r w:rsidR="00EC7254">
        <w:t>-</w:t>
      </w:r>
      <w:r w:rsidRPr="00194AD8">
        <w:t>To</w:t>
      </w:r>
      <w:r w:rsidR="00EC7254">
        <w:t>-</w:t>
      </w:r>
      <w:r w:rsidRPr="00194AD8">
        <w:t>Buy</w:t>
      </w:r>
      <w:r w:rsidR="00EC7254">
        <w:t xml:space="preserve"> (RTB)</w:t>
      </w:r>
      <w:r w:rsidRPr="00194AD8">
        <w:t xml:space="preserve"> receipts. </w:t>
      </w:r>
      <w:r w:rsidR="00194AD8" w:rsidRPr="00194AD8">
        <w:t>At the time of writing, HRA debt was £132.9m and reserves were £14.0m.</w:t>
      </w:r>
    </w:p>
    <w:p w14:paraId="7374FB16" w14:textId="28CCF852" w:rsidR="00184605" w:rsidRPr="00194AD8" w:rsidRDefault="00184605" w:rsidP="00A846A7">
      <w:pPr>
        <w:pStyle w:val="NumberedParagraph"/>
      </w:pPr>
      <w:r w:rsidRPr="00194AD8">
        <w:t>Council tenants have a right to buy their home within their tenancy.  The current government has limited the discounts applicable and is also consulting on further restrictions to limit right to buy sales and protect investment in stock improvement and new homes.</w:t>
      </w:r>
    </w:p>
    <w:p w14:paraId="234CFE80" w14:textId="2F486518" w:rsidR="006F0961" w:rsidRDefault="00D10426" w:rsidP="00F532EB">
      <w:pPr>
        <w:pStyle w:val="NumberedParagraph"/>
      </w:pPr>
      <w:r>
        <w:t xml:space="preserve">The Working Group has met twice to discuss ideas about increasing affordable housing supply. Initial conversations centred around the availability and options for the </w:t>
      </w:r>
      <w:r>
        <w:lastRenderedPageBreak/>
        <w:t xml:space="preserve">use of land. Luton </w:t>
      </w:r>
      <w:r w:rsidR="006F0961">
        <w:t>has some limitations on the availability of land to work with potential partners.</w:t>
      </w:r>
    </w:p>
    <w:p w14:paraId="3D38E86C" w14:textId="62579BD1" w:rsidR="004D3726" w:rsidRDefault="006F0961" w:rsidP="00F532EB">
      <w:pPr>
        <w:pStyle w:val="NumberedParagraph"/>
      </w:pPr>
      <w:r>
        <w:t xml:space="preserve">Regulatory </w:t>
      </w:r>
      <w:r w:rsidR="00D10426">
        <w:t>freedoms a</w:t>
      </w:r>
      <w:r>
        <w:t xml:space="preserve">round the use of HRA right to buy capital receipts and the surpluses generated from operations mean that Luton could use these combined funds to </w:t>
      </w:r>
      <w:r w:rsidR="00B174A1">
        <w:t>boost</w:t>
      </w:r>
      <w:r>
        <w:t xml:space="preserve"> affordable housing supply. This briefing note outlines how much </w:t>
      </w:r>
      <w:r w:rsidR="00EC7254">
        <w:t xml:space="preserve">HRA </w:t>
      </w:r>
      <w:r>
        <w:t xml:space="preserve">funds could be made available to meet </w:t>
      </w:r>
      <w:r w:rsidR="00B174A1">
        <w:t xml:space="preserve">housing </w:t>
      </w:r>
      <w:r>
        <w:t>growth targets</w:t>
      </w:r>
      <w:r w:rsidR="00B174A1">
        <w:t xml:space="preserve"> subject to </w:t>
      </w:r>
      <w:r w:rsidR="007E4328">
        <w:t xml:space="preserve">the </w:t>
      </w:r>
      <w:r w:rsidR="00B174A1">
        <w:t>necessary approvals being obtained</w:t>
      </w:r>
      <w:r>
        <w:t>.</w:t>
      </w:r>
    </w:p>
    <w:p w14:paraId="35A028E1" w14:textId="36B127D4" w:rsidR="0090412C" w:rsidRDefault="0090412C" w:rsidP="0090412C">
      <w:pPr>
        <w:pStyle w:val="SectionHeader"/>
      </w:pPr>
      <w:r>
        <w:t>RTB Legislative Changes</w:t>
      </w:r>
      <w:r w:rsidR="00D75A35">
        <w:t xml:space="preserve"> in 2024</w:t>
      </w:r>
    </w:p>
    <w:p w14:paraId="7752E7B6" w14:textId="71D4EDB4" w:rsidR="0090412C" w:rsidRDefault="0090412C" w:rsidP="0090412C">
      <w:pPr>
        <w:pStyle w:val="NumberedParagraph"/>
      </w:pPr>
      <w:r>
        <w:t xml:space="preserve">Government increased the maximum permitted contribution from RTB receipts to replacement affordable housing from 50% to 100% for 2024-25 and 2025-26. </w:t>
      </w:r>
      <w:r w:rsidR="002F7BE0">
        <w:t>Also, c</w:t>
      </w:r>
      <w:r>
        <w:t xml:space="preserve">ap </w:t>
      </w:r>
      <w:r w:rsidR="002F7BE0">
        <w:t xml:space="preserve">of 50% </w:t>
      </w:r>
      <w:r>
        <w:t>on replacements delivered as acquisitions has been lifted.</w:t>
      </w:r>
      <w:r w:rsidR="00055936">
        <w:t xml:space="preserve"> Changes from 2026-27 onwards have not been announced so the financial modelling </w:t>
      </w:r>
      <w:r w:rsidR="00E11039">
        <w:t xml:space="preserve">here </w:t>
      </w:r>
      <w:r w:rsidR="00055936">
        <w:t>has assumed a 50% limitation.</w:t>
      </w:r>
      <w:r w:rsidR="001304D7">
        <w:t xml:space="preserve"> This means that council needs to finance the other 50% of new build.</w:t>
      </w:r>
      <w:r w:rsidR="00F929AE">
        <w:t xml:space="preserve"> </w:t>
      </w:r>
    </w:p>
    <w:p w14:paraId="5C4D0F63" w14:textId="19D9A295" w:rsidR="0090412C" w:rsidRDefault="001304D7" w:rsidP="0090412C">
      <w:pPr>
        <w:pStyle w:val="NumberedParagraph"/>
      </w:pPr>
      <w:r>
        <w:t>From 21</w:t>
      </w:r>
      <w:r w:rsidRPr="001304D7">
        <w:rPr>
          <w:vertAlign w:val="superscript"/>
        </w:rPr>
        <w:t>st</w:t>
      </w:r>
      <w:r>
        <w:t xml:space="preserve"> </w:t>
      </w:r>
      <w:r w:rsidR="00055936">
        <w:t>November 2024, discount levels for RTB disposals were reduced</w:t>
      </w:r>
      <w:r>
        <w:t xml:space="preserve"> to pre-2012 levels. This is expected to reduce the number of sales each year. In scenario</w:t>
      </w:r>
      <w:r w:rsidR="00A6449E">
        <w:t xml:space="preserve"> modelling</w:t>
      </w:r>
      <w:r>
        <w:t xml:space="preserve">, sales have been reduced from 44 to 30 </w:t>
      </w:r>
      <w:r w:rsidR="00D75A35">
        <w:t>hous</w:t>
      </w:r>
      <w:r>
        <w:t xml:space="preserve">es per annum. Consequently, the amounts of RTB capital receipts are projected to be lower than previous years but remain above £4m per annum. Hence, council would need to find at least £4m </w:t>
      </w:r>
      <w:r w:rsidR="004A7534">
        <w:t xml:space="preserve">per annum </w:t>
      </w:r>
      <w:r>
        <w:t>from other resources to match its 50%</w:t>
      </w:r>
      <w:r w:rsidR="000F24C0">
        <w:t xml:space="preserve"> </w:t>
      </w:r>
      <w:r w:rsidR="00D75A35">
        <w:t>share</w:t>
      </w:r>
      <w:r w:rsidR="000F24C0">
        <w:t>.</w:t>
      </w:r>
    </w:p>
    <w:p w14:paraId="54D41514" w14:textId="45DE4248" w:rsidR="0090412C" w:rsidRDefault="00AF5F07" w:rsidP="0090412C">
      <w:pPr>
        <w:pStyle w:val="SectionHeader"/>
      </w:pPr>
      <w:r>
        <w:t>Borrowing Prudence</w:t>
      </w:r>
    </w:p>
    <w:p w14:paraId="673985DE" w14:textId="2FACA1C7" w:rsidR="0090412C" w:rsidRDefault="00FA3C76" w:rsidP="0090412C">
      <w:pPr>
        <w:pStyle w:val="NumberedParagraph"/>
      </w:pPr>
      <w:r>
        <w:t xml:space="preserve">HRA will continue its practice of refinancing </w:t>
      </w:r>
      <w:r w:rsidR="00E12A06">
        <w:t>£132.9m of historical loans at maturity</w:t>
      </w:r>
      <w:r w:rsidR="0090412C">
        <w:t>.</w:t>
      </w:r>
      <w:r w:rsidR="00E12A06">
        <w:t xml:space="preserve"> Interest repayments for legacy debt will continue at about £4.5m per annum. Interest cover ratio will be </w:t>
      </w:r>
      <w:r w:rsidR="007E4328">
        <w:t>kept</w:t>
      </w:r>
      <w:r w:rsidR="00E12A06">
        <w:t xml:space="preserve"> at no less than the sector benchmark of 1.25, that is, there is </w:t>
      </w:r>
      <w:r w:rsidR="007E4328">
        <w:t>enough money</w:t>
      </w:r>
      <w:r w:rsidR="00E12A06">
        <w:t xml:space="preserve"> to repay loans after </w:t>
      </w:r>
      <w:r w:rsidR="007E4328">
        <w:t xml:space="preserve">meeting </w:t>
      </w:r>
      <w:r w:rsidR="00E12A06">
        <w:t>all other financial commitments.</w:t>
      </w:r>
    </w:p>
    <w:p w14:paraId="08587B6D" w14:textId="49433EF5" w:rsidR="00D11D97" w:rsidRDefault="007E4328" w:rsidP="0090412C">
      <w:pPr>
        <w:pStyle w:val="NumberedParagraph"/>
      </w:pPr>
      <w:r>
        <w:t xml:space="preserve">Preference will be to use </w:t>
      </w:r>
      <w:r w:rsidR="00D11D97">
        <w:t xml:space="preserve">HRA balances </w:t>
      </w:r>
      <w:r w:rsidR="00EE084B">
        <w:t xml:space="preserve">(aka reserves) </w:t>
      </w:r>
      <w:r w:rsidR="00D11D97">
        <w:t xml:space="preserve">to contribute to capital expenditure to </w:t>
      </w:r>
      <w:r>
        <w:t>avoid taking out</w:t>
      </w:r>
      <w:r w:rsidR="00D11D97">
        <w:t xml:space="preserve"> new loans.</w:t>
      </w:r>
      <w:r>
        <w:t xml:space="preserve"> New loans will be </w:t>
      </w:r>
      <w:r w:rsidR="00EE084B">
        <w:t xml:space="preserve">arranged as needed then </w:t>
      </w:r>
      <w:r>
        <w:t>repaid as soon as surplus funds become available from operations.</w:t>
      </w:r>
      <w:r w:rsidR="00EE084B">
        <w:t xml:space="preserve"> Both reserves and loans make up council’s 50% share under the RTB 1-4-1 replacement regime.</w:t>
      </w:r>
    </w:p>
    <w:p w14:paraId="4B7CB996" w14:textId="77FD97E8" w:rsidR="00FA3C76" w:rsidRDefault="003C0E4E" w:rsidP="00FA3C76">
      <w:pPr>
        <w:pStyle w:val="SectionHeader"/>
      </w:pPr>
      <w:r>
        <w:t>Grants, s106 and other Third-Party Contributions</w:t>
      </w:r>
    </w:p>
    <w:p w14:paraId="0AE88597" w14:textId="4F8A761C" w:rsidR="00FA3C76" w:rsidRDefault="003C0E4E" w:rsidP="00FA3C76">
      <w:pPr>
        <w:pStyle w:val="NumberedParagraph"/>
      </w:pPr>
      <w:r>
        <w:t>Grants, s106 and other third-party contributions have been excluded from the bas</w:t>
      </w:r>
      <w:r w:rsidR="00A17B33">
        <w:t>e</w:t>
      </w:r>
      <w:r>
        <w:t xml:space="preserve"> </w:t>
      </w:r>
      <w:r w:rsidR="00A17B33">
        <w:t>scenario</w:t>
      </w:r>
      <w:r w:rsidR="00FA3C76">
        <w:t>.</w:t>
      </w:r>
      <w:r w:rsidR="000D1B2D">
        <w:t xml:space="preserve"> If </w:t>
      </w:r>
      <w:r w:rsidR="000B7DA3">
        <w:t>external funds were available, it would reduce borrowing</w:t>
      </w:r>
      <w:r w:rsidR="002823A5">
        <w:t xml:space="preserve"> requirements</w:t>
      </w:r>
      <w:r w:rsidR="000B7DA3">
        <w:t>.</w:t>
      </w:r>
    </w:p>
    <w:p w14:paraId="15599A05" w14:textId="4FC7097F" w:rsidR="00FA3C76" w:rsidRDefault="00142029" w:rsidP="00FA3C76">
      <w:pPr>
        <w:pStyle w:val="SectionHeader"/>
      </w:pPr>
      <w:r>
        <w:t>Financial Profiling</w:t>
      </w:r>
    </w:p>
    <w:p w14:paraId="29767315" w14:textId="2B2632C0" w:rsidR="00FA3C76" w:rsidRDefault="00142029" w:rsidP="00FA3C76">
      <w:pPr>
        <w:pStyle w:val="NumberedParagraph"/>
      </w:pPr>
      <w:r>
        <w:t>Schemes under construction (Buckle and Freemans Green), The Stage Block C, and capital bids for MTFP 2025-26 are profiled based on approvals</w:t>
      </w:r>
      <w:r w:rsidR="002823A5">
        <w:t xml:space="preserve"> or submissions</w:t>
      </w:r>
      <w:r w:rsidR="00FA3C76">
        <w:t>.</w:t>
      </w:r>
    </w:p>
    <w:p w14:paraId="28FDFDE2" w14:textId="77777777" w:rsidR="00142029" w:rsidRDefault="00142029" w:rsidP="00FA3C76">
      <w:pPr>
        <w:pStyle w:val="NumberedParagraph"/>
      </w:pPr>
      <w:r>
        <w:t>Prospective buybacks and ‘extra’ affordable housing or gifts are based on profiles that:</w:t>
      </w:r>
    </w:p>
    <w:p w14:paraId="48F75C3C" w14:textId="779BFC18" w:rsidR="00142029" w:rsidRDefault="00142029" w:rsidP="00142029">
      <w:pPr>
        <w:pStyle w:val="NumberedParagraph"/>
        <w:numPr>
          <w:ilvl w:val="1"/>
          <w:numId w:val="1"/>
        </w:numPr>
      </w:pPr>
      <w:r>
        <w:t>Make full use of RTB capital receipts to avoid repayment</w:t>
      </w:r>
      <w:r w:rsidR="00C054AB">
        <w:t>s</w:t>
      </w:r>
      <w:r>
        <w:t xml:space="preserve"> to HM Treasury,</w:t>
      </w:r>
    </w:p>
    <w:p w14:paraId="3B672432" w14:textId="463C9171" w:rsidR="00142029" w:rsidRDefault="00142029" w:rsidP="00142029">
      <w:pPr>
        <w:pStyle w:val="NumberedParagraph"/>
        <w:numPr>
          <w:ilvl w:val="1"/>
          <w:numId w:val="1"/>
        </w:numPr>
      </w:pPr>
      <w:r>
        <w:lastRenderedPageBreak/>
        <w:t>Use HRA balances whilst keeping an indexed assurance</w:t>
      </w:r>
      <w:r w:rsidR="000B7DA3">
        <w:t xml:space="preserve"> buffer</w:t>
      </w:r>
      <w:r>
        <w:t>, and</w:t>
      </w:r>
    </w:p>
    <w:p w14:paraId="25C9AA83" w14:textId="1F724B8D" w:rsidR="00142029" w:rsidRDefault="00142029" w:rsidP="00142029">
      <w:pPr>
        <w:pStyle w:val="NumberedParagraph"/>
        <w:numPr>
          <w:ilvl w:val="1"/>
          <w:numId w:val="1"/>
        </w:numPr>
      </w:pPr>
      <w:r>
        <w:t>Borrowing to make up the difference.</w:t>
      </w:r>
    </w:p>
    <w:p w14:paraId="64B733B6" w14:textId="5078C35B" w:rsidR="00142029" w:rsidRDefault="00DC2295" w:rsidP="00142029">
      <w:pPr>
        <w:pStyle w:val="SectionHeader"/>
      </w:pPr>
      <w:r>
        <w:t>What if RTB capital receipts are not used</w:t>
      </w:r>
    </w:p>
    <w:p w14:paraId="78BAE4C0" w14:textId="77777777" w:rsidR="000D1B2D" w:rsidRDefault="000D1B2D" w:rsidP="00142029">
      <w:pPr>
        <w:pStyle w:val="NumberedParagraph"/>
      </w:pPr>
      <w:r>
        <w:t>From Year 13 (2036-37) onwards, £107m of capital receipts would be paid back.</w:t>
      </w:r>
    </w:p>
    <w:p w14:paraId="1816D0D1" w14:textId="77777777" w:rsidR="000D1B2D" w:rsidRDefault="000D1B2D" w:rsidP="00142029">
      <w:pPr>
        <w:pStyle w:val="NumberedParagraph"/>
      </w:pPr>
      <w:r>
        <w:t>Interest to be paid to HM Treasury would total £56m.</w:t>
      </w:r>
    </w:p>
    <w:p w14:paraId="508363AA" w14:textId="0A49679D" w:rsidR="00142029" w:rsidRDefault="000B7DA3" w:rsidP="00142029">
      <w:pPr>
        <w:pStyle w:val="SectionHeader"/>
      </w:pPr>
      <w:r>
        <w:t>What if HRA holds assets</w:t>
      </w:r>
      <w:r w:rsidR="00947D97">
        <w:t xml:space="preserve"> and use all RTB capital receipts</w:t>
      </w:r>
    </w:p>
    <w:p w14:paraId="0A351F84" w14:textId="3DE8CA34" w:rsidR="00BD04FA" w:rsidRDefault="00BD04FA" w:rsidP="00142029">
      <w:pPr>
        <w:pStyle w:val="NumberedParagraph"/>
      </w:pPr>
      <w:r>
        <w:t>To use up RTB capital receipts on a 1-4-1 basis,</w:t>
      </w:r>
      <w:r w:rsidR="000E77F1">
        <w:t xml:space="preserve"> over 30 years,</w:t>
      </w:r>
      <w:r>
        <w:t xml:space="preserve"> circa £66m would be spent on buybacks and circa £462m on new build.</w:t>
      </w:r>
      <w:r w:rsidRPr="00BD04FA">
        <w:t xml:space="preserve"> </w:t>
      </w:r>
      <w:r>
        <w:t>New capex of £528m excludes current approvals for Buckle Close (£11m), Freemans Green (£7m), The Stage Block C (£25m) and conversions (£2.5m).</w:t>
      </w:r>
    </w:p>
    <w:p w14:paraId="5B93522A" w14:textId="6A54A011" w:rsidR="00142029" w:rsidRDefault="00BD04FA" w:rsidP="00142029">
      <w:pPr>
        <w:pStyle w:val="NumberedParagraph"/>
      </w:pPr>
      <w:r>
        <w:t xml:space="preserve">Tenanted stock over the 30 years increases from 7,602 to 7,833. </w:t>
      </w:r>
      <w:r w:rsidR="00F81741">
        <w:t>Current approvals total 146 units, b</w:t>
      </w:r>
      <w:r>
        <w:t>uybacks total 138 units and new build 8</w:t>
      </w:r>
      <w:r w:rsidR="00F81741">
        <w:t>59</w:t>
      </w:r>
      <w:r>
        <w:t xml:space="preserve"> units</w:t>
      </w:r>
      <w:r w:rsidR="00F81741">
        <w:t xml:space="preserve">, </w:t>
      </w:r>
      <w:r>
        <w:t xml:space="preserve">on average </w:t>
      </w:r>
      <w:r w:rsidR="00F81741">
        <w:t>38 additions</w:t>
      </w:r>
      <w:r>
        <w:t xml:space="preserve"> per annum</w:t>
      </w:r>
      <w:r w:rsidR="00DD7701">
        <w:t>, which would be a net gain of 8 units after assumed RTB sales of 30 per year</w:t>
      </w:r>
      <w:r>
        <w:t>.</w:t>
      </w:r>
      <w:r w:rsidR="00F81741">
        <w:t xml:space="preserve"> This means that the </w:t>
      </w:r>
      <w:r w:rsidR="00EC7254">
        <w:t xml:space="preserve">third and </w:t>
      </w:r>
      <w:r w:rsidR="00F81741">
        <w:t>private sector</w:t>
      </w:r>
      <w:r w:rsidR="00EC7254">
        <w:t>s</w:t>
      </w:r>
      <w:r w:rsidR="00F929AE">
        <w:t xml:space="preserve"> </w:t>
      </w:r>
      <w:r w:rsidR="00F81741">
        <w:t>need to make up the shortfall of 47 units to get to targeted new affordable homes of 85 units pa.</w:t>
      </w:r>
    </w:p>
    <w:p w14:paraId="1D33C80D" w14:textId="1520A2BD" w:rsidR="004C255E" w:rsidRDefault="0027405C" w:rsidP="00142029">
      <w:pPr>
        <w:pStyle w:val="NumberedParagraph"/>
      </w:pPr>
      <w:r>
        <w:t xml:space="preserve">New loans totalling £13m would finance this </w:t>
      </w:r>
      <w:r w:rsidR="00EC7254">
        <w:t xml:space="preserve">asset-owning </w:t>
      </w:r>
      <w:r>
        <w:t xml:space="preserve">scenario </w:t>
      </w:r>
      <w:r w:rsidR="00D04950">
        <w:t>and</w:t>
      </w:r>
      <w:r>
        <w:t xml:space="preserve"> would be taken out for The Stage</w:t>
      </w:r>
      <w:r w:rsidR="00B52B1F">
        <w:t xml:space="preserve"> contribution</w:t>
      </w:r>
      <w:r w:rsidR="0046614B">
        <w:t xml:space="preserve">s </w:t>
      </w:r>
      <w:r w:rsidR="00EC7254">
        <w:t xml:space="preserve">between </w:t>
      </w:r>
      <w:r w:rsidR="0046614B">
        <w:t>2024/25 to 2026/27</w:t>
      </w:r>
      <w:r>
        <w:t>.</w:t>
      </w:r>
    </w:p>
    <w:p w14:paraId="6A8DD14D" w14:textId="360AF733" w:rsidR="007A095F" w:rsidRDefault="007A095F" w:rsidP="00142029">
      <w:pPr>
        <w:pStyle w:val="NumberedParagraph"/>
      </w:pPr>
      <w:r>
        <w:t xml:space="preserve">The charts below provide a high-level summary of this </w:t>
      </w:r>
      <w:r w:rsidR="00EC7254">
        <w:t xml:space="preserve">asset-owning </w:t>
      </w:r>
      <w:r>
        <w:t>scenario.</w:t>
      </w:r>
    </w:p>
    <w:p w14:paraId="6BD16ED0" w14:textId="7A810A29" w:rsidR="00434BB4" w:rsidRDefault="00434BB4" w:rsidP="00434BB4">
      <w:pPr>
        <w:pStyle w:val="NumberedParagraph"/>
        <w:numPr>
          <w:ilvl w:val="1"/>
          <w:numId w:val="1"/>
        </w:numPr>
      </w:pPr>
      <w:r>
        <w:t xml:space="preserve">Figure 1 shows the </w:t>
      </w:r>
      <w:r w:rsidR="008429FC">
        <w:t>number of homes added over 30 years.</w:t>
      </w:r>
    </w:p>
    <w:p w14:paraId="7B8E0D9E" w14:textId="27CE3FA2" w:rsidR="00434BB4" w:rsidRDefault="008429FC" w:rsidP="00434BB4">
      <w:pPr>
        <w:pStyle w:val="NumberedParagraph"/>
        <w:numPr>
          <w:ilvl w:val="1"/>
          <w:numId w:val="1"/>
        </w:numPr>
      </w:pPr>
      <w:r>
        <w:t>Figure 2 conveys t</w:t>
      </w:r>
      <w:r w:rsidR="00434BB4">
        <w:t xml:space="preserve">he </w:t>
      </w:r>
      <w:r>
        <w:t>key</w:t>
      </w:r>
      <w:r w:rsidR="00434BB4">
        <w:t xml:space="preserve"> message that the HRA </w:t>
      </w:r>
      <w:r>
        <w:t>is sustainable over 30 years if stock in maintained in rentable state, and a prudent approach is adopted for buybacks and new build.</w:t>
      </w:r>
    </w:p>
    <w:p w14:paraId="7FCB1AFF" w14:textId="184708C0" w:rsidR="008429FC" w:rsidRDefault="008429FC" w:rsidP="00434BB4">
      <w:pPr>
        <w:pStyle w:val="NumberedParagraph"/>
        <w:numPr>
          <w:ilvl w:val="1"/>
          <w:numId w:val="1"/>
        </w:numPr>
      </w:pPr>
      <w:r>
        <w:t>Figure 3 shows the amount of 1-4-1 receipts generated through sales.</w:t>
      </w:r>
    </w:p>
    <w:p w14:paraId="1D13F9DA" w14:textId="1B275BF5" w:rsidR="008429FC" w:rsidRDefault="008429FC" w:rsidP="00434BB4">
      <w:pPr>
        <w:pStyle w:val="NumberedParagraph"/>
        <w:numPr>
          <w:ilvl w:val="1"/>
          <w:numId w:val="1"/>
        </w:numPr>
      </w:pPr>
      <w:r>
        <w:t>Figure 4 shows the use of funds for capital schemes.</w:t>
      </w:r>
    </w:p>
    <w:p w14:paraId="2DB7F152" w14:textId="77777777" w:rsidR="009B60D1" w:rsidRDefault="009B60D1" w:rsidP="007C6764">
      <w:pPr>
        <w:pStyle w:val="NumberedParagraph"/>
        <w:numPr>
          <w:ilvl w:val="0"/>
          <w:numId w:val="0"/>
        </w:numPr>
        <w:ind w:left="567" w:hanging="567"/>
      </w:pPr>
    </w:p>
    <w:p w14:paraId="75A02BB8" w14:textId="77777777" w:rsidR="009B60D1" w:rsidRDefault="009B60D1" w:rsidP="007C6764">
      <w:pPr>
        <w:pStyle w:val="NumberedParagraph"/>
        <w:numPr>
          <w:ilvl w:val="0"/>
          <w:numId w:val="0"/>
        </w:numPr>
        <w:ind w:left="567" w:hanging="567"/>
        <w:sectPr w:rsidR="009B60D1" w:rsidSect="003F6F29">
          <w:headerReference w:type="default" r:id="rId11"/>
          <w:footerReference w:type="even" r:id="rId12"/>
          <w:footerReference w:type="default" r:id="rId13"/>
          <w:headerReference w:type="first" r:id="rId14"/>
          <w:footerReference w:type="first" r:id="rId15"/>
          <w:pgSz w:w="11906" w:h="16838"/>
          <w:pgMar w:top="720" w:right="1077" w:bottom="720" w:left="1077" w:header="720" w:footer="720" w:gutter="0"/>
          <w:cols w:space="720"/>
          <w:docGrid w:linePitch="326"/>
        </w:sectPr>
      </w:pPr>
    </w:p>
    <w:tbl>
      <w:tblPr>
        <w:tblStyle w:val="TableGrid"/>
        <w:tblW w:w="0" w:type="auto"/>
        <w:tblLook w:val="04A0" w:firstRow="1" w:lastRow="0" w:firstColumn="1" w:lastColumn="0" w:noHBand="0" w:noVBand="1"/>
      </w:tblPr>
      <w:tblGrid>
        <w:gridCol w:w="7694"/>
        <w:gridCol w:w="7694"/>
      </w:tblGrid>
      <w:tr w:rsidR="009B60D1" w14:paraId="54233A93" w14:textId="77777777" w:rsidTr="00581B7D">
        <w:trPr>
          <w:cnfStyle w:val="100000000000" w:firstRow="1" w:lastRow="0" w:firstColumn="0" w:lastColumn="0" w:oddVBand="0" w:evenVBand="0" w:oddHBand="0" w:evenHBand="0" w:firstRowFirstColumn="0" w:firstRowLastColumn="0" w:lastRowFirstColumn="0" w:lastRowLastColumn="0"/>
          <w:trHeight w:val="3118"/>
        </w:trPr>
        <w:tc>
          <w:tcPr>
            <w:cnfStyle w:val="001000000000" w:firstRow="0" w:lastRow="0" w:firstColumn="1" w:lastColumn="0" w:oddVBand="0" w:evenVBand="0" w:oddHBand="0" w:evenHBand="0" w:firstRowFirstColumn="0" w:firstRowLastColumn="0" w:lastRowFirstColumn="0" w:lastRowLastColumn="0"/>
            <w:tcW w:w="7694" w:type="dxa"/>
          </w:tcPr>
          <w:p w14:paraId="2644FDBE" w14:textId="09B8D6D7" w:rsidR="009B60D1" w:rsidRDefault="009B60D1" w:rsidP="000B7DA3">
            <w:pPr>
              <w:pStyle w:val="SectionHeader"/>
            </w:pPr>
            <w:r w:rsidRPr="009B60D1">
              <w:rPr>
                <w:noProof/>
              </w:rPr>
              <w:lastRenderedPageBreak/>
              <w:drawing>
                <wp:inline distT="0" distB="0" distL="0" distR="0" wp14:anchorId="2E497CD1" wp14:editId="2CA2653C">
                  <wp:extent cx="3470400" cy="2264400"/>
                  <wp:effectExtent l="0" t="0" r="0" b="3175"/>
                  <wp:docPr id="9455704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0400" cy="2264400"/>
                          </a:xfrm>
                          <a:prstGeom prst="rect">
                            <a:avLst/>
                          </a:prstGeom>
                          <a:noFill/>
                          <a:ln>
                            <a:noFill/>
                          </a:ln>
                        </pic:spPr>
                      </pic:pic>
                    </a:graphicData>
                  </a:graphic>
                </wp:inline>
              </w:drawing>
            </w:r>
          </w:p>
        </w:tc>
        <w:tc>
          <w:tcPr>
            <w:tcW w:w="7694" w:type="dxa"/>
          </w:tcPr>
          <w:p w14:paraId="3FC71952" w14:textId="33286180" w:rsidR="009B60D1" w:rsidRDefault="009B60D1" w:rsidP="000B7DA3">
            <w:pPr>
              <w:pStyle w:val="SectionHeader"/>
              <w:cnfStyle w:val="100000000000" w:firstRow="1" w:lastRow="0" w:firstColumn="0" w:lastColumn="0" w:oddVBand="0" w:evenVBand="0" w:oddHBand="0" w:evenHBand="0" w:firstRowFirstColumn="0" w:firstRowLastColumn="0" w:lastRowFirstColumn="0" w:lastRowLastColumn="0"/>
            </w:pPr>
            <w:r w:rsidRPr="009B60D1">
              <w:rPr>
                <w:noProof/>
              </w:rPr>
              <w:drawing>
                <wp:inline distT="0" distB="0" distL="0" distR="0" wp14:anchorId="6BE24D24" wp14:editId="6D128C74">
                  <wp:extent cx="3466800" cy="2246400"/>
                  <wp:effectExtent l="0" t="0" r="635" b="1905"/>
                  <wp:docPr id="10231708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6800" cy="2246400"/>
                          </a:xfrm>
                          <a:prstGeom prst="rect">
                            <a:avLst/>
                          </a:prstGeom>
                          <a:noFill/>
                          <a:ln>
                            <a:noFill/>
                          </a:ln>
                        </pic:spPr>
                      </pic:pic>
                    </a:graphicData>
                  </a:graphic>
                </wp:inline>
              </w:drawing>
            </w:r>
          </w:p>
        </w:tc>
      </w:tr>
      <w:tr w:rsidR="009B60D1" w14:paraId="0D8E4405" w14:textId="77777777" w:rsidTr="00581B7D">
        <w:trPr>
          <w:trHeight w:val="3118"/>
        </w:trPr>
        <w:tc>
          <w:tcPr>
            <w:cnfStyle w:val="001000000000" w:firstRow="0" w:lastRow="0" w:firstColumn="1" w:lastColumn="0" w:oddVBand="0" w:evenVBand="0" w:oddHBand="0" w:evenHBand="0" w:firstRowFirstColumn="0" w:firstRowLastColumn="0" w:lastRowFirstColumn="0" w:lastRowLastColumn="0"/>
            <w:tcW w:w="7694" w:type="dxa"/>
          </w:tcPr>
          <w:p w14:paraId="668B06CC" w14:textId="2F354F5D" w:rsidR="009B60D1" w:rsidRDefault="00581B7D" w:rsidP="00581B7D">
            <w:pPr>
              <w:pStyle w:val="SectionHeader"/>
              <w:jc w:val="center"/>
            </w:pPr>
            <w:r w:rsidRPr="00581B7D">
              <w:rPr>
                <w:noProof/>
              </w:rPr>
              <w:drawing>
                <wp:inline distT="0" distB="0" distL="0" distR="0" wp14:anchorId="58B10066" wp14:editId="7BA3404A">
                  <wp:extent cx="3466800" cy="2246400"/>
                  <wp:effectExtent l="0" t="0" r="635" b="1905"/>
                  <wp:docPr id="105190875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6800" cy="2246400"/>
                          </a:xfrm>
                          <a:prstGeom prst="rect">
                            <a:avLst/>
                          </a:prstGeom>
                          <a:noFill/>
                          <a:ln>
                            <a:noFill/>
                          </a:ln>
                        </pic:spPr>
                      </pic:pic>
                    </a:graphicData>
                  </a:graphic>
                </wp:inline>
              </w:drawing>
            </w:r>
          </w:p>
        </w:tc>
        <w:tc>
          <w:tcPr>
            <w:tcW w:w="7694" w:type="dxa"/>
          </w:tcPr>
          <w:p w14:paraId="7E90A170" w14:textId="29FD6FBA" w:rsidR="009B60D1" w:rsidRDefault="00581B7D" w:rsidP="00581B7D">
            <w:pPr>
              <w:pStyle w:val="SectionHeader"/>
              <w:jc w:val="center"/>
              <w:cnfStyle w:val="000000000000" w:firstRow="0" w:lastRow="0" w:firstColumn="0" w:lastColumn="0" w:oddVBand="0" w:evenVBand="0" w:oddHBand="0" w:evenHBand="0" w:firstRowFirstColumn="0" w:firstRowLastColumn="0" w:lastRowFirstColumn="0" w:lastRowLastColumn="0"/>
            </w:pPr>
            <w:r w:rsidRPr="00581B7D">
              <w:rPr>
                <w:noProof/>
              </w:rPr>
              <w:drawing>
                <wp:inline distT="0" distB="0" distL="0" distR="0" wp14:anchorId="1E60FEB5" wp14:editId="40E6445A">
                  <wp:extent cx="3463200" cy="2242800"/>
                  <wp:effectExtent l="0" t="0" r="4445" b="5715"/>
                  <wp:docPr id="65546336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3200" cy="2242800"/>
                          </a:xfrm>
                          <a:prstGeom prst="rect">
                            <a:avLst/>
                          </a:prstGeom>
                          <a:noFill/>
                          <a:ln>
                            <a:noFill/>
                          </a:ln>
                        </pic:spPr>
                      </pic:pic>
                    </a:graphicData>
                  </a:graphic>
                </wp:inline>
              </w:drawing>
            </w:r>
          </w:p>
        </w:tc>
      </w:tr>
    </w:tbl>
    <w:p w14:paraId="7074E9A2" w14:textId="77777777" w:rsidR="009B60D1" w:rsidRDefault="009B60D1" w:rsidP="000B7DA3">
      <w:pPr>
        <w:pStyle w:val="SectionHeader"/>
        <w:sectPr w:rsidR="009B60D1" w:rsidSect="009B60D1">
          <w:pgSz w:w="16838" w:h="11906" w:orient="landscape"/>
          <w:pgMar w:top="1077" w:right="720" w:bottom="1077" w:left="720" w:header="720" w:footer="720" w:gutter="0"/>
          <w:cols w:space="720"/>
          <w:docGrid w:linePitch="326"/>
        </w:sectPr>
      </w:pPr>
    </w:p>
    <w:p w14:paraId="2AE00D8F" w14:textId="77777777" w:rsidR="009B60D1" w:rsidRDefault="009B60D1" w:rsidP="000B7DA3">
      <w:pPr>
        <w:pStyle w:val="SectionHeader"/>
      </w:pPr>
    </w:p>
    <w:p w14:paraId="374A7A42" w14:textId="4729C55A" w:rsidR="000B7DA3" w:rsidRDefault="000B7DA3" w:rsidP="000B7DA3">
      <w:pPr>
        <w:pStyle w:val="SectionHeader"/>
      </w:pPr>
      <w:r>
        <w:t xml:space="preserve">What if HRA gifts </w:t>
      </w:r>
      <w:r w:rsidR="00947D97">
        <w:t>all RTB capital receipts</w:t>
      </w:r>
      <w:r w:rsidR="005D30C3">
        <w:t xml:space="preserve"> to an external party</w:t>
      </w:r>
    </w:p>
    <w:p w14:paraId="0FDB2B9D" w14:textId="2040B093" w:rsidR="005D30C3" w:rsidRDefault="005D30C3" w:rsidP="000B7DA3">
      <w:pPr>
        <w:pStyle w:val="NumberedParagraph"/>
      </w:pPr>
      <w:r>
        <w:t>RTB capital receipts</w:t>
      </w:r>
      <w:r w:rsidR="004904BE">
        <w:t xml:space="preserve"> of £183m is generated from 2024/25 to 2053/54. If these receipts are not </w:t>
      </w:r>
      <w:r w:rsidR="001F341B">
        <w:t>used,</w:t>
      </w:r>
      <w:r w:rsidR="004904BE">
        <w:t xml:space="preserve"> then they would need to be paid back </w:t>
      </w:r>
      <w:r w:rsidR="008B6695">
        <w:t xml:space="preserve">with interest </w:t>
      </w:r>
      <w:r w:rsidR="004904BE">
        <w:t>to HM Treasury.</w:t>
      </w:r>
      <w:r w:rsidR="00050D8F">
        <w:t xml:space="preserve"> </w:t>
      </w:r>
      <w:r w:rsidR="001F341B">
        <w:t>Also, o</w:t>
      </w:r>
      <w:r w:rsidR="00050D8F">
        <w:t>ver 30 years, operating surplus</w:t>
      </w:r>
      <w:r w:rsidR="001F341B">
        <w:t>es</w:t>
      </w:r>
      <w:r w:rsidR="00050D8F">
        <w:t xml:space="preserve"> before loan repayment </w:t>
      </w:r>
      <w:r w:rsidR="001F341B">
        <w:t>amounts to</w:t>
      </w:r>
      <w:r w:rsidR="00050D8F">
        <w:t xml:space="preserve"> </w:t>
      </w:r>
      <w:r w:rsidR="001F341B">
        <w:t>£217m.</w:t>
      </w:r>
      <w:r w:rsidR="004904BE">
        <w:t xml:space="preserve"> </w:t>
      </w:r>
      <w:r w:rsidR="001F341B">
        <w:t>Therefore, there is about £400m generated to buy land or transfer for affordable homes.</w:t>
      </w:r>
    </w:p>
    <w:p w14:paraId="3F40FA03" w14:textId="5E08AB41" w:rsidR="000B7DA3" w:rsidRDefault="00F23985" w:rsidP="000B7DA3">
      <w:pPr>
        <w:pStyle w:val="NumberedParagraph"/>
      </w:pPr>
      <w:r>
        <w:t>If LBC</w:t>
      </w:r>
      <w:r w:rsidR="00DD34BB">
        <w:t xml:space="preserve"> retains a small repurchase programme, which delivers 145 homes over 30 </w:t>
      </w:r>
      <w:proofErr w:type="gramStart"/>
      <w:r w:rsidR="00DD34BB">
        <w:t>year</w:t>
      </w:r>
      <w:proofErr w:type="gramEnd"/>
      <w:r w:rsidR="00DD34BB">
        <w:t xml:space="preserve">, the stock </w:t>
      </w:r>
      <w:r>
        <w:t>will</w:t>
      </w:r>
      <w:r w:rsidR="00612F1E">
        <w:t xml:space="preserve"> reduce by 605 to 6,995 over 30 years</w:t>
      </w:r>
      <w:r w:rsidR="00DD34BB">
        <w:t>.  Remaining RTB receipts could be gifted to another provider for the provision of additional homes outside of the HRA.</w:t>
      </w:r>
      <w:r w:rsidR="00612F1E">
        <w:t xml:space="preserve"> </w:t>
      </w:r>
      <w:r w:rsidR="00455984">
        <w:t>However, the HRA remains sustainable and meets its statutory obligations as reserves are projected to be within tolerance range.</w:t>
      </w:r>
    </w:p>
    <w:p w14:paraId="67DAF843" w14:textId="68D6A2AE" w:rsidR="00612F1E" w:rsidRDefault="00455984" w:rsidP="000B7DA3">
      <w:pPr>
        <w:pStyle w:val="NumberedParagraph"/>
      </w:pPr>
      <w:r>
        <w:t xml:space="preserve">LBC would negotiate nomination rights over those properties for which it had made a financial contribution. </w:t>
      </w:r>
      <w:r w:rsidR="00612F1E">
        <w:t>Circa £3</w:t>
      </w:r>
      <w:r w:rsidR="00F23985">
        <w:t>98</w:t>
      </w:r>
      <w:r w:rsidR="00612F1E">
        <w:t xml:space="preserve">m would be ‘gifted’ or invested into schemes with nomination rights. </w:t>
      </w:r>
      <w:r w:rsidR="00B52B1F">
        <w:t>How many homes become part of the deal(s) will be modelled separately.</w:t>
      </w:r>
    </w:p>
    <w:p w14:paraId="6A4209A1" w14:textId="55139F31" w:rsidR="00636076" w:rsidRDefault="00EC2FD2" w:rsidP="000B7DA3">
      <w:pPr>
        <w:pStyle w:val="NumberedParagraph"/>
      </w:pPr>
      <w:r>
        <w:t>Key metrics for the gift scenario are shown below</w:t>
      </w:r>
      <w:r w:rsidR="00636076">
        <w:t>:</w:t>
      </w:r>
    </w:p>
    <w:p w14:paraId="61AACC14" w14:textId="4EB3C66B" w:rsidR="00636076" w:rsidRDefault="00636076" w:rsidP="00636076">
      <w:pPr>
        <w:pStyle w:val="NumberedParagraph"/>
        <w:numPr>
          <w:ilvl w:val="1"/>
          <w:numId w:val="1"/>
        </w:numPr>
      </w:pPr>
      <w:r>
        <w:t>Figure 1 shows that after The Stage, new build decreases to nil.</w:t>
      </w:r>
    </w:p>
    <w:p w14:paraId="25CD432D" w14:textId="5F07DB20" w:rsidR="00EC2FD2" w:rsidRDefault="00636076" w:rsidP="00636076">
      <w:pPr>
        <w:pStyle w:val="NumberedParagraph"/>
        <w:numPr>
          <w:ilvl w:val="1"/>
          <w:numId w:val="1"/>
        </w:numPr>
      </w:pPr>
      <w:r>
        <w:t>Figure 2 shows that HRA re</w:t>
      </w:r>
      <w:r w:rsidR="00455984">
        <w:t>main</w:t>
      </w:r>
      <w:r>
        <w:t xml:space="preserve">s </w:t>
      </w:r>
      <w:r w:rsidR="00455984">
        <w:t xml:space="preserve">on or above </w:t>
      </w:r>
      <w:r>
        <w:t xml:space="preserve">its indexed assurance buffer over 30 years. The level of reserves is not as healthy as under asset ownership </w:t>
      </w:r>
      <w:r w:rsidR="00455984">
        <w:t xml:space="preserve">scenario </w:t>
      </w:r>
      <w:r>
        <w:t>because rental income from new build is not available.</w:t>
      </w:r>
    </w:p>
    <w:p w14:paraId="55453605" w14:textId="2579E077" w:rsidR="00455984" w:rsidRDefault="00455984" w:rsidP="00636076">
      <w:pPr>
        <w:pStyle w:val="NumberedParagraph"/>
        <w:numPr>
          <w:ilvl w:val="1"/>
          <w:numId w:val="1"/>
        </w:numPr>
      </w:pPr>
      <w:r>
        <w:t>Figure 3 is the same as under the asset-ownership scenario.</w:t>
      </w:r>
    </w:p>
    <w:p w14:paraId="555E0CDC" w14:textId="2A361E87" w:rsidR="00636076" w:rsidRDefault="00636076" w:rsidP="00636076">
      <w:pPr>
        <w:pStyle w:val="NumberedParagraph"/>
        <w:numPr>
          <w:ilvl w:val="1"/>
          <w:numId w:val="1"/>
        </w:numPr>
      </w:pPr>
      <w:r>
        <w:t xml:space="preserve">Figure 4 shows match funding </w:t>
      </w:r>
      <w:r w:rsidR="00455984">
        <w:t>from</w:t>
      </w:r>
      <w:r>
        <w:t xml:space="preserve"> 1-4-1 receipts and </w:t>
      </w:r>
      <w:r w:rsidR="00455984">
        <w:t>contributions from revenue balances (RCCO), after borrowing for The Stage</w:t>
      </w:r>
      <w:r>
        <w:t>.</w:t>
      </w:r>
    </w:p>
    <w:p w14:paraId="5CFEB58F" w14:textId="77777777" w:rsidR="00EC2FD2" w:rsidRDefault="00EC2FD2" w:rsidP="00EC2FD2">
      <w:pPr>
        <w:pStyle w:val="NumberedParagraph"/>
        <w:numPr>
          <w:ilvl w:val="0"/>
          <w:numId w:val="0"/>
        </w:numPr>
      </w:pPr>
    </w:p>
    <w:p w14:paraId="289D2ECC" w14:textId="77777777" w:rsidR="00EC2FD2" w:rsidRDefault="00EC2FD2" w:rsidP="00EC2FD2">
      <w:pPr>
        <w:pStyle w:val="NumberedParagraph"/>
        <w:numPr>
          <w:ilvl w:val="0"/>
          <w:numId w:val="0"/>
        </w:numPr>
        <w:ind w:left="567" w:hanging="567"/>
        <w:sectPr w:rsidR="00EC2FD2" w:rsidSect="003F6F29">
          <w:pgSz w:w="11906" w:h="16838"/>
          <w:pgMar w:top="720" w:right="1077" w:bottom="720" w:left="1077" w:header="720" w:footer="720" w:gutter="0"/>
          <w:cols w:space="720"/>
          <w:docGrid w:linePitch="326"/>
        </w:sectPr>
      </w:pPr>
    </w:p>
    <w:tbl>
      <w:tblPr>
        <w:tblStyle w:val="TableGrid"/>
        <w:tblW w:w="0" w:type="auto"/>
        <w:tblInd w:w="567" w:type="dxa"/>
        <w:tblLook w:val="04A0" w:firstRow="1" w:lastRow="0" w:firstColumn="1" w:lastColumn="0" w:noHBand="0" w:noVBand="1"/>
      </w:tblPr>
      <w:tblGrid>
        <w:gridCol w:w="7411"/>
        <w:gridCol w:w="7410"/>
      </w:tblGrid>
      <w:tr w:rsidR="00750241" w14:paraId="2354B7D7" w14:textId="77777777" w:rsidTr="007502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4" w:type="dxa"/>
          </w:tcPr>
          <w:p w14:paraId="6197464E" w14:textId="2C4717C3" w:rsidR="00750241" w:rsidRDefault="00E509E0" w:rsidP="00EC2FD2">
            <w:pPr>
              <w:pStyle w:val="NumberedParagraph"/>
              <w:numPr>
                <w:ilvl w:val="0"/>
                <w:numId w:val="0"/>
              </w:numPr>
            </w:pPr>
            <w:r w:rsidRPr="00E509E0">
              <w:rPr>
                <w:noProof/>
              </w:rPr>
              <w:lastRenderedPageBreak/>
              <w:drawing>
                <wp:inline distT="0" distB="0" distL="0" distR="0" wp14:anchorId="6688A72C" wp14:editId="43A327CC">
                  <wp:extent cx="3459600" cy="2250000"/>
                  <wp:effectExtent l="0" t="0" r="7620" b="0"/>
                  <wp:docPr id="65808279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9600" cy="2250000"/>
                          </a:xfrm>
                          <a:prstGeom prst="rect">
                            <a:avLst/>
                          </a:prstGeom>
                          <a:noFill/>
                          <a:ln>
                            <a:noFill/>
                          </a:ln>
                        </pic:spPr>
                      </pic:pic>
                    </a:graphicData>
                  </a:graphic>
                </wp:inline>
              </w:drawing>
            </w:r>
          </w:p>
        </w:tc>
        <w:tc>
          <w:tcPr>
            <w:tcW w:w="7694" w:type="dxa"/>
          </w:tcPr>
          <w:p w14:paraId="03710EE2" w14:textId="18F680C1" w:rsidR="00750241" w:rsidRDefault="00750241" w:rsidP="00750241">
            <w:pPr>
              <w:pStyle w:val="NumberedParagraph"/>
              <w:numPr>
                <w:ilvl w:val="0"/>
                <w:numId w:val="0"/>
              </w:numPr>
              <w:cnfStyle w:val="100000000000" w:firstRow="1" w:lastRow="0" w:firstColumn="0" w:lastColumn="0" w:oddVBand="0" w:evenVBand="0" w:oddHBand="0" w:evenHBand="0" w:firstRowFirstColumn="0" w:firstRowLastColumn="0" w:lastRowFirstColumn="0" w:lastRowLastColumn="0"/>
            </w:pPr>
            <w:r w:rsidRPr="00750241">
              <w:rPr>
                <w:noProof/>
              </w:rPr>
              <w:drawing>
                <wp:inline distT="0" distB="0" distL="0" distR="0" wp14:anchorId="6B28ED8D" wp14:editId="3516789D">
                  <wp:extent cx="3466800" cy="2246400"/>
                  <wp:effectExtent l="0" t="0" r="635" b="1905"/>
                  <wp:docPr id="167688768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6800" cy="2246400"/>
                          </a:xfrm>
                          <a:prstGeom prst="rect">
                            <a:avLst/>
                          </a:prstGeom>
                          <a:noFill/>
                          <a:ln>
                            <a:noFill/>
                          </a:ln>
                        </pic:spPr>
                      </pic:pic>
                    </a:graphicData>
                  </a:graphic>
                </wp:inline>
              </w:drawing>
            </w:r>
          </w:p>
        </w:tc>
      </w:tr>
      <w:tr w:rsidR="00750241" w14:paraId="046C1D7F" w14:textId="77777777" w:rsidTr="00750241">
        <w:tc>
          <w:tcPr>
            <w:cnfStyle w:val="001000000000" w:firstRow="0" w:lastRow="0" w:firstColumn="1" w:lastColumn="0" w:oddVBand="0" w:evenVBand="0" w:oddHBand="0" w:evenHBand="0" w:firstRowFirstColumn="0" w:firstRowLastColumn="0" w:lastRowFirstColumn="0" w:lastRowLastColumn="0"/>
            <w:tcW w:w="7694" w:type="dxa"/>
          </w:tcPr>
          <w:p w14:paraId="041D6E61" w14:textId="5BBF11E9" w:rsidR="00750241" w:rsidRDefault="00870A86" w:rsidP="00870A86">
            <w:pPr>
              <w:pStyle w:val="NumberedParagraph"/>
              <w:numPr>
                <w:ilvl w:val="0"/>
                <w:numId w:val="0"/>
              </w:numPr>
              <w:jc w:val="center"/>
            </w:pPr>
            <w:r w:rsidRPr="00870A86">
              <w:rPr>
                <w:noProof/>
              </w:rPr>
              <w:drawing>
                <wp:inline distT="0" distB="0" distL="0" distR="0" wp14:anchorId="4C1F0497" wp14:editId="1F7FA764">
                  <wp:extent cx="3466800" cy="2246400"/>
                  <wp:effectExtent l="0" t="0" r="635" b="1905"/>
                  <wp:docPr id="63817972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6800" cy="2246400"/>
                          </a:xfrm>
                          <a:prstGeom prst="rect">
                            <a:avLst/>
                          </a:prstGeom>
                          <a:noFill/>
                          <a:ln>
                            <a:noFill/>
                          </a:ln>
                        </pic:spPr>
                      </pic:pic>
                    </a:graphicData>
                  </a:graphic>
                </wp:inline>
              </w:drawing>
            </w:r>
          </w:p>
        </w:tc>
        <w:tc>
          <w:tcPr>
            <w:tcW w:w="7694" w:type="dxa"/>
          </w:tcPr>
          <w:p w14:paraId="78202659" w14:textId="7132F3FB" w:rsidR="00750241" w:rsidRDefault="00750241" w:rsidP="00750241">
            <w:pPr>
              <w:pStyle w:val="NumberedParagraph"/>
              <w:numPr>
                <w:ilvl w:val="0"/>
                <w:numId w:val="0"/>
              </w:numPr>
              <w:jc w:val="center"/>
              <w:cnfStyle w:val="000000000000" w:firstRow="0" w:lastRow="0" w:firstColumn="0" w:lastColumn="0" w:oddVBand="0" w:evenVBand="0" w:oddHBand="0" w:evenHBand="0" w:firstRowFirstColumn="0" w:firstRowLastColumn="0" w:lastRowFirstColumn="0" w:lastRowLastColumn="0"/>
            </w:pPr>
            <w:r w:rsidRPr="00750241">
              <w:rPr>
                <w:noProof/>
              </w:rPr>
              <w:drawing>
                <wp:inline distT="0" distB="0" distL="0" distR="0" wp14:anchorId="317FC67B" wp14:editId="5E9136C5">
                  <wp:extent cx="3319200" cy="2242800"/>
                  <wp:effectExtent l="0" t="0" r="0" b="5715"/>
                  <wp:docPr id="78610750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9200" cy="2242800"/>
                          </a:xfrm>
                          <a:prstGeom prst="rect">
                            <a:avLst/>
                          </a:prstGeom>
                          <a:noFill/>
                          <a:ln>
                            <a:noFill/>
                          </a:ln>
                        </pic:spPr>
                      </pic:pic>
                    </a:graphicData>
                  </a:graphic>
                </wp:inline>
              </w:drawing>
            </w:r>
          </w:p>
        </w:tc>
      </w:tr>
    </w:tbl>
    <w:p w14:paraId="7DCFD14B" w14:textId="77777777" w:rsidR="00EC2FD2" w:rsidRDefault="00EC2FD2" w:rsidP="00EC2FD2">
      <w:pPr>
        <w:pStyle w:val="NumberedParagraph"/>
        <w:numPr>
          <w:ilvl w:val="0"/>
          <w:numId w:val="0"/>
        </w:numPr>
        <w:ind w:left="567" w:hanging="567"/>
      </w:pPr>
    </w:p>
    <w:p w14:paraId="78C27D7F" w14:textId="77777777" w:rsidR="00EC2FD2" w:rsidRDefault="00EC2FD2" w:rsidP="00EC2FD2">
      <w:pPr>
        <w:pStyle w:val="NumberedParagraph"/>
        <w:numPr>
          <w:ilvl w:val="0"/>
          <w:numId w:val="0"/>
        </w:numPr>
        <w:ind w:left="567" w:hanging="567"/>
        <w:sectPr w:rsidR="00EC2FD2" w:rsidSect="00EC2FD2">
          <w:pgSz w:w="16838" w:h="11906" w:orient="landscape"/>
          <w:pgMar w:top="1077" w:right="720" w:bottom="1077" w:left="720" w:header="720" w:footer="720" w:gutter="0"/>
          <w:cols w:space="720"/>
          <w:docGrid w:linePitch="326"/>
        </w:sectPr>
      </w:pPr>
    </w:p>
    <w:p w14:paraId="2855A5B3" w14:textId="77777777" w:rsidR="00EC2FD2" w:rsidRDefault="00EC2FD2" w:rsidP="00EC2FD2">
      <w:pPr>
        <w:pStyle w:val="NumberedParagraph"/>
        <w:numPr>
          <w:ilvl w:val="0"/>
          <w:numId w:val="0"/>
        </w:numPr>
        <w:ind w:left="567" w:hanging="567"/>
      </w:pPr>
    </w:p>
    <w:p w14:paraId="0C5E84F4" w14:textId="7BFA754C" w:rsidR="0027405C" w:rsidRDefault="0038017D" w:rsidP="0027405C">
      <w:pPr>
        <w:pStyle w:val="SectionHeader"/>
      </w:pPr>
      <w:r>
        <w:t>Development risk</w:t>
      </w:r>
    </w:p>
    <w:p w14:paraId="211F477B" w14:textId="462FE3DA" w:rsidR="0027405C" w:rsidRDefault="0038017D" w:rsidP="0027405C">
      <w:pPr>
        <w:pStyle w:val="NumberedParagraph"/>
      </w:pPr>
      <w:r>
        <w:t>Development risk has not been factored into the financial model</w:t>
      </w:r>
      <w:r w:rsidR="0027405C">
        <w:t>.</w:t>
      </w:r>
      <w:r>
        <w:t xml:space="preserve"> Where HRA remains the asset owner, </w:t>
      </w:r>
      <w:r w:rsidR="006B2C22">
        <w:t>1,005</w:t>
      </w:r>
      <w:r>
        <w:t xml:space="preserve"> houses will need to be built</w:t>
      </w:r>
      <w:r w:rsidR="00767DC2">
        <w:t xml:space="preserve"> over 30 years of which </w:t>
      </w:r>
      <w:r w:rsidR="006B2C22">
        <w:t>859</w:t>
      </w:r>
      <w:r w:rsidR="00767DC2">
        <w:t xml:space="preserve"> are for speculative sites or schemes</w:t>
      </w:r>
      <w:r w:rsidR="00A076D8">
        <w:t xml:space="preserve"> (that is, planning applications or business cases not submitted)</w:t>
      </w:r>
      <w:r w:rsidR="00767DC2">
        <w:t>.</w:t>
      </w:r>
    </w:p>
    <w:p w14:paraId="5EB5A940" w14:textId="0A634525" w:rsidR="00767DC2" w:rsidRDefault="00767DC2" w:rsidP="00767DC2">
      <w:pPr>
        <w:pStyle w:val="SectionHeader"/>
      </w:pPr>
      <w:r>
        <w:t>Partnership costs</w:t>
      </w:r>
    </w:p>
    <w:p w14:paraId="1A83F1C1" w14:textId="77777777" w:rsidR="00B52B1F" w:rsidRDefault="00767DC2" w:rsidP="00B52B1F">
      <w:pPr>
        <w:pStyle w:val="NumberedParagraph"/>
      </w:pPr>
      <w:r>
        <w:t xml:space="preserve">The </w:t>
      </w:r>
      <w:r w:rsidR="00B52B1F">
        <w:t xml:space="preserve">formative and operating </w:t>
      </w:r>
      <w:r>
        <w:t>cost</w:t>
      </w:r>
      <w:r w:rsidR="00B52B1F">
        <w:t>s</w:t>
      </w:r>
      <w:r>
        <w:t xml:space="preserve"> of gifting or investing into a partnership arrangement howsoever defined has been excluded from the </w:t>
      </w:r>
      <w:r w:rsidR="00B52B1F">
        <w:t xml:space="preserve">base </w:t>
      </w:r>
      <w:r>
        <w:t>financial model.</w:t>
      </w:r>
      <w:r w:rsidR="00D15F85">
        <w:t xml:space="preserve"> </w:t>
      </w:r>
      <w:r w:rsidR="00B52B1F">
        <w:t>Separate models will be developed for various scenarios based on further discussions</w:t>
      </w:r>
      <w:r w:rsidR="00D15F85">
        <w:t>.</w:t>
      </w:r>
    </w:p>
    <w:p w14:paraId="0A3A0537" w14:textId="77777777" w:rsidR="00DD34BB" w:rsidRDefault="00DD34BB" w:rsidP="0036586A">
      <w:pPr>
        <w:pStyle w:val="SectionHeader"/>
      </w:pPr>
      <w:r>
        <w:t>Examples of previous decisions on land and investment</w:t>
      </w:r>
    </w:p>
    <w:p w14:paraId="5E11CA21" w14:textId="5708DE03" w:rsidR="0036586A" w:rsidRPr="00DD34BB" w:rsidRDefault="0036586A" w:rsidP="0036586A">
      <w:pPr>
        <w:pStyle w:val="SectionHeader"/>
        <w:rPr>
          <w:b w:val="0"/>
          <w:bCs/>
          <w:u w:val="single"/>
        </w:rPr>
      </w:pPr>
      <w:r w:rsidRPr="00DD34BB">
        <w:rPr>
          <w:b w:val="0"/>
          <w:bCs/>
          <w:u w:val="single"/>
        </w:rPr>
        <w:t>Transfer of land from HRA to General Fund</w:t>
      </w:r>
    </w:p>
    <w:p w14:paraId="6B844C78" w14:textId="795432BF" w:rsidR="0036586A" w:rsidRDefault="0036586A" w:rsidP="0036586A">
      <w:pPr>
        <w:pStyle w:val="NumberedParagraph"/>
      </w:pPr>
      <w:r>
        <w:t>In February 2021, Executive approved the sale of the land of the former Parrot public house to Foxhall Homes. As the land was held in the HRA it had to be transferred to the GF prior to disposal. HRA benefited from reduction in borrowing, and the GF would eventually benefit from FH dividends with the homes offered at market rent or sale. HRA is not permitted to charge market rent for its tenancies.</w:t>
      </w:r>
    </w:p>
    <w:p w14:paraId="18C920DF" w14:textId="4A641364" w:rsidR="00407FCF" w:rsidRPr="00DD34BB" w:rsidRDefault="00407FCF" w:rsidP="00407FCF">
      <w:pPr>
        <w:pStyle w:val="SectionHeader"/>
        <w:rPr>
          <w:b w:val="0"/>
          <w:bCs/>
          <w:u w:val="single"/>
        </w:rPr>
      </w:pPr>
      <w:r w:rsidRPr="00DD34BB">
        <w:rPr>
          <w:b w:val="0"/>
          <w:bCs/>
          <w:u w:val="single"/>
        </w:rPr>
        <w:t>Gift of RTB receipts to Housing Association</w:t>
      </w:r>
    </w:p>
    <w:p w14:paraId="76FECF32" w14:textId="675E5F36" w:rsidR="00407FCF" w:rsidRDefault="00407FCF" w:rsidP="00407FCF">
      <w:pPr>
        <w:pStyle w:val="NumberedParagraph"/>
      </w:pPr>
      <w:r>
        <w:t>Executive approved on 25</w:t>
      </w:r>
      <w:r w:rsidRPr="00407FCF">
        <w:rPr>
          <w:vertAlign w:val="superscript"/>
        </w:rPr>
        <w:t>th</w:t>
      </w:r>
      <w:r>
        <w:t xml:space="preserve"> June 2018 a £2m grant to Hightown HA for the development of 30 houses</w:t>
      </w:r>
      <w:r w:rsidR="006976A9">
        <w:t xml:space="preserve"> at Charles Street</w:t>
      </w:r>
      <w:r>
        <w:t>. In exchange, LBC would retain:</w:t>
      </w:r>
    </w:p>
    <w:p w14:paraId="3382BCF7" w14:textId="15DA92BD" w:rsidR="00407FCF" w:rsidRDefault="00407FCF" w:rsidP="00407FCF">
      <w:pPr>
        <w:pStyle w:val="NumberedParagraph"/>
        <w:numPr>
          <w:ilvl w:val="1"/>
          <w:numId w:val="1"/>
        </w:numPr>
      </w:pPr>
      <w:r>
        <w:t>100% of nomination rights for first lettings at local LHA rates, and</w:t>
      </w:r>
    </w:p>
    <w:p w14:paraId="252100ED" w14:textId="572DDF41" w:rsidR="00407FCF" w:rsidRDefault="00407FCF" w:rsidP="00407FCF">
      <w:pPr>
        <w:pStyle w:val="NumberedParagraph"/>
        <w:numPr>
          <w:ilvl w:val="1"/>
          <w:numId w:val="1"/>
        </w:numPr>
      </w:pPr>
      <w:r>
        <w:t>75% of nomination rights for subsequent lettings at up to 80% of market rent, that is, the definition of affordable rent.</w:t>
      </w:r>
    </w:p>
    <w:p w14:paraId="7472FE8B" w14:textId="293921E5" w:rsidR="000E48EF" w:rsidRPr="00DD34BB" w:rsidRDefault="000E48EF" w:rsidP="000E48EF">
      <w:pPr>
        <w:pStyle w:val="SectionHeader"/>
        <w:rPr>
          <w:b w:val="0"/>
          <w:bCs/>
          <w:u w:val="single"/>
        </w:rPr>
      </w:pPr>
      <w:r w:rsidRPr="00DD34BB">
        <w:rPr>
          <w:b w:val="0"/>
          <w:bCs/>
          <w:u w:val="single"/>
        </w:rPr>
        <w:t>Disposal of land to a Housing Association</w:t>
      </w:r>
    </w:p>
    <w:p w14:paraId="1C72A00E" w14:textId="3B4D5521" w:rsidR="000E48EF" w:rsidRDefault="000E48EF" w:rsidP="000E48EF">
      <w:pPr>
        <w:pStyle w:val="NumberedParagraph"/>
      </w:pPr>
      <w:r>
        <w:t>In 2013, Executive approved the transfer of Abigail Close land at nil cost to Paradigm HA. Paradigm agreed to build 11 homes to accommodate mental health clients.</w:t>
      </w:r>
    </w:p>
    <w:p w14:paraId="285F963E" w14:textId="2F99ACA6" w:rsidR="00407FCF" w:rsidRPr="00DD34BB" w:rsidRDefault="001B3602" w:rsidP="00407FCF">
      <w:pPr>
        <w:pStyle w:val="SectionHeader"/>
        <w:rPr>
          <w:b w:val="0"/>
          <w:bCs/>
          <w:u w:val="single"/>
        </w:rPr>
      </w:pPr>
      <w:r w:rsidRPr="00DD34BB">
        <w:rPr>
          <w:b w:val="0"/>
          <w:bCs/>
          <w:u w:val="single"/>
        </w:rPr>
        <w:t>Transfer of land to a private developer</w:t>
      </w:r>
    </w:p>
    <w:p w14:paraId="15D81631" w14:textId="393A3589" w:rsidR="00FE3B10" w:rsidRDefault="00D74EBE" w:rsidP="00DD34BB">
      <w:pPr>
        <w:pStyle w:val="NumberedParagraph"/>
      </w:pPr>
      <w:r>
        <w:t>Former Drill Hall Old Bedford Road was transferred from General Fund to HRA at nil cost</w:t>
      </w:r>
      <w:r w:rsidR="00832387">
        <w:t>.</w:t>
      </w:r>
      <w:r>
        <w:t xml:space="preserve"> GF incurred circa £2m to demolish </w:t>
      </w:r>
      <w:r w:rsidR="0036586A">
        <w:t>buildings,</w:t>
      </w:r>
      <w:r>
        <w:t xml:space="preserve"> decontaminate the land</w:t>
      </w:r>
      <w:r w:rsidR="00832387">
        <w:t xml:space="preserve"> and relocate a Temporary Accommodation centre</w:t>
      </w:r>
      <w:r>
        <w:t xml:space="preserve">. </w:t>
      </w:r>
      <w:r w:rsidR="00895756">
        <w:t>Executive between 2013 and 2015 approved a series of proposals for the development</w:t>
      </w:r>
      <w:r w:rsidR="0036586A">
        <w:t xml:space="preserve"> of new housing</w:t>
      </w:r>
      <w:r w:rsidR="00895756">
        <w:t xml:space="preserve">. </w:t>
      </w:r>
      <w:r>
        <w:t>HRA transferred the land to Cheyne Capital / Touchpoint Housing to build 80 homes. Touchpoint Housing acted as landlord and LBC as tenant under the headlease. HRA managed the tenancies for a fee through an underlease. There were put options to acquire the properties in Years 6 and 7 at contracted rates based on property size.</w:t>
      </w:r>
      <w:r w:rsidR="00FE3B10">
        <w:br w:type="page"/>
      </w:r>
    </w:p>
    <w:p w14:paraId="09B60D79" w14:textId="6A287D4D" w:rsidR="0090412C" w:rsidRPr="0042578F" w:rsidRDefault="00B52B1F" w:rsidP="00B52B1F">
      <w:pPr>
        <w:pStyle w:val="NumberedParagraph"/>
        <w:numPr>
          <w:ilvl w:val="0"/>
          <w:numId w:val="0"/>
        </w:numPr>
        <w:rPr>
          <w:b/>
          <w:bCs/>
        </w:rPr>
      </w:pPr>
      <w:r w:rsidRPr="0042578F">
        <w:rPr>
          <w:b/>
          <w:bCs/>
        </w:rPr>
        <w:lastRenderedPageBreak/>
        <w:t>Appendix 1</w:t>
      </w:r>
    </w:p>
    <w:p w14:paraId="74735B7D" w14:textId="745C4710" w:rsidR="0042578F" w:rsidRDefault="0042578F" w:rsidP="00B52B1F">
      <w:pPr>
        <w:pStyle w:val="NumberedParagraph"/>
        <w:numPr>
          <w:ilvl w:val="0"/>
          <w:numId w:val="0"/>
        </w:numPr>
      </w:pPr>
      <w:r>
        <w:t>Table 1 below compares two scenarios where the HRA holds new build, or where HRA funds are invested into houses with nomination rights.</w:t>
      </w:r>
    </w:p>
    <w:p w14:paraId="7CB66ED4" w14:textId="77777777" w:rsidR="00FE3B10" w:rsidRDefault="00FE3B10" w:rsidP="00B52B1F">
      <w:pPr>
        <w:pStyle w:val="NumberedParagraph"/>
        <w:numPr>
          <w:ilvl w:val="0"/>
          <w:numId w:val="0"/>
        </w:numPr>
      </w:pPr>
    </w:p>
    <w:p w14:paraId="0F34694E" w14:textId="1DE9D6B3" w:rsidR="002C4732" w:rsidRDefault="002C4732" w:rsidP="00B52B1F">
      <w:pPr>
        <w:pStyle w:val="NumberedParagraph"/>
        <w:numPr>
          <w:ilvl w:val="0"/>
          <w:numId w:val="0"/>
        </w:numPr>
        <w:sectPr w:rsidR="002C4732" w:rsidSect="003F6F29">
          <w:pgSz w:w="11906" w:h="16838"/>
          <w:pgMar w:top="720" w:right="1077" w:bottom="720" w:left="1077" w:header="720" w:footer="720" w:gutter="0"/>
          <w:cols w:space="720"/>
          <w:docGrid w:linePitch="326"/>
        </w:sectPr>
      </w:pPr>
      <w:r w:rsidRPr="002C4732">
        <w:rPr>
          <w:noProof/>
        </w:rPr>
        <w:drawing>
          <wp:inline distT="0" distB="0" distL="0" distR="0" wp14:anchorId="18418F59" wp14:editId="0AE7FAA8">
            <wp:extent cx="6192520" cy="3689350"/>
            <wp:effectExtent l="0" t="0" r="0" b="6350"/>
            <wp:docPr id="160516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3689350"/>
                    </a:xfrm>
                    <a:prstGeom prst="rect">
                      <a:avLst/>
                    </a:prstGeom>
                    <a:noFill/>
                    <a:ln>
                      <a:noFill/>
                    </a:ln>
                  </pic:spPr>
                </pic:pic>
              </a:graphicData>
            </a:graphic>
          </wp:inline>
        </w:drawing>
      </w:r>
    </w:p>
    <w:p w14:paraId="29263C1F" w14:textId="11F9B832" w:rsidR="00B52B1F" w:rsidRPr="00FE3B10" w:rsidRDefault="00FE3B10" w:rsidP="00FE3B10">
      <w:pPr>
        <w:pStyle w:val="NumberedParagraph"/>
        <w:numPr>
          <w:ilvl w:val="0"/>
          <w:numId w:val="0"/>
        </w:numPr>
        <w:rPr>
          <w:b/>
          <w:bCs/>
        </w:rPr>
      </w:pPr>
      <w:r w:rsidRPr="00FE3B10">
        <w:rPr>
          <w:b/>
          <w:bCs/>
        </w:rPr>
        <w:lastRenderedPageBreak/>
        <w:t>Appendix 2</w:t>
      </w:r>
    </w:p>
    <w:p w14:paraId="35C80342" w14:textId="3CDCCE3F" w:rsidR="00966B34" w:rsidRPr="003860B5" w:rsidRDefault="00966B34" w:rsidP="00FE3B10">
      <w:pPr>
        <w:pStyle w:val="NumberedParagraph"/>
        <w:numPr>
          <w:ilvl w:val="0"/>
          <w:numId w:val="0"/>
        </w:numPr>
        <w:rPr>
          <w:b/>
          <w:bCs/>
        </w:rPr>
      </w:pPr>
      <w:r w:rsidRPr="003860B5">
        <w:rPr>
          <w:b/>
          <w:bCs/>
        </w:rPr>
        <w:t>HRA Capital Programme Asset Owner Scenario</w:t>
      </w:r>
    </w:p>
    <w:p w14:paraId="6D0E3B38" w14:textId="16B8E355" w:rsidR="00966B34" w:rsidRDefault="00B9106F" w:rsidP="00FE3B10">
      <w:pPr>
        <w:pStyle w:val="NumberedParagraph"/>
        <w:numPr>
          <w:ilvl w:val="0"/>
          <w:numId w:val="0"/>
        </w:numPr>
      </w:pPr>
      <w:r w:rsidRPr="00B9106F">
        <w:rPr>
          <w:noProof/>
        </w:rPr>
        <w:drawing>
          <wp:inline distT="0" distB="0" distL="0" distR="0" wp14:anchorId="0B820DBC" wp14:editId="3EFC6960">
            <wp:extent cx="9777730" cy="1912620"/>
            <wp:effectExtent l="19050" t="19050" r="13970" b="11430"/>
            <wp:docPr id="1385243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7730" cy="1912620"/>
                    </a:xfrm>
                    <a:prstGeom prst="rect">
                      <a:avLst/>
                    </a:prstGeom>
                    <a:noFill/>
                    <a:ln>
                      <a:solidFill>
                        <a:schemeClr val="accent1"/>
                      </a:solidFill>
                    </a:ln>
                  </pic:spPr>
                </pic:pic>
              </a:graphicData>
            </a:graphic>
          </wp:inline>
        </w:drawing>
      </w:r>
    </w:p>
    <w:p w14:paraId="6FBE24E3" w14:textId="77777777" w:rsidR="00FE3B10" w:rsidRDefault="00FE3B10" w:rsidP="00FE3B10">
      <w:pPr>
        <w:pStyle w:val="NumberedParagraph"/>
        <w:numPr>
          <w:ilvl w:val="0"/>
          <w:numId w:val="0"/>
        </w:numPr>
      </w:pPr>
    </w:p>
    <w:p w14:paraId="7773C2C2" w14:textId="21776676" w:rsidR="00FE3B10" w:rsidRDefault="00B9106F">
      <w:pPr>
        <w:overflowPunct/>
        <w:autoSpaceDE/>
        <w:autoSpaceDN/>
        <w:adjustRightInd/>
        <w:spacing w:after="0"/>
        <w:textAlignment w:val="auto"/>
      </w:pPr>
      <w:r w:rsidRPr="00B9106F">
        <w:rPr>
          <w:noProof/>
        </w:rPr>
        <w:drawing>
          <wp:inline distT="0" distB="0" distL="0" distR="0" wp14:anchorId="7CA2925B" wp14:editId="23693E00">
            <wp:extent cx="8413200" cy="1832400"/>
            <wp:effectExtent l="19050" t="19050" r="26035" b="15875"/>
            <wp:docPr id="14459455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413200" cy="1832400"/>
                    </a:xfrm>
                    <a:prstGeom prst="rect">
                      <a:avLst/>
                    </a:prstGeom>
                    <a:noFill/>
                    <a:ln>
                      <a:solidFill>
                        <a:schemeClr val="accent1"/>
                      </a:solidFill>
                    </a:ln>
                  </pic:spPr>
                </pic:pic>
              </a:graphicData>
            </a:graphic>
          </wp:inline>
        </w:drawing>
      </w:r>
      <w:r w:rsidR="00FE3B10">
        <w:br w:type="page"/>
      </w:r>
    </w:p>
    <w:p w14:paraId="3C5C0A27" w14:textId="49F5C4E2" w:rsidR="00FE3B10" w:rsidRPr="008201A5" w:rsidRDefault="00FE3B10" w:rsidP="00FE3B10">
      <w:pPr>
        <w:pStyle w:val="NumberedParagraph"/>
        <w:numPr>
          <w:ilvl w:val="0"/>
          <w:numId w:val="0"/>
        </w:numPr>
        <w:rPr>
          <w:b/>
          <w:bCs/>
        </w:rPr>
      </w:pPr>
      <w:r w:rsidRPr="008201A5">
        <w:rPr>
          <w:b/>
          <w:bCs/>
        </w:rPr>
        <w:lastRenderedPageBreak/>
        <w:t>Appendix 3</w:t>
      </w:r>
    </w:p>
    <w:p w14:paraId="09C65344" w14:textId="3E10AF81" w:rsidR="00966B34" w:rsidRPr="00876A77" w:rsidRDefault="00966B34" w:rsidP="00FE3B10">
      <w:pPr>
        <w:pStyle w:val="NumberedParagraph"/>
        <w:numPr>
          <w:ilvl w:val="0"/>
          <w:numId w:val="0"/>
        </w:numPr>
        <w:rPr>
          <w:b/>
          <w:bCs/>
        </w:rPr>
      </w:pPr>
      <w:r w:rsidRPr="00876A77">
        <w:rPr>
          <w:b/>
          <w:bCs/>
        </w:rPr>
        <w:t>HRA Capital Programme Gift Scenario</w:t>
      </w:r>
    </w:p>
    <w:p w14:paraId="6EB9C98D" w14:textId="41FC61B1" w:rsidR="00FE3B10" w:rsidRDefault="00E44B95">
      <w:pPr>
        <w:overflowPunct/>
        <w:autoSpaceDE/>
        <w:autoSpaceDN/>
        <w:adjustRightInd/>
        <w:spacing w:after="0"/>
        <w:textAlignment w:val="auto"/>
      </w:pPr>
      <w:r w:rsidRPr="00E44B95">
        <w:rPr>
          <w:noProof/>
        </w:rPr>
        <w:drawing>
          <wp:inline distT="0" distB="0" distL="0" distR="0" wp14:anchorId="0B0F10C5" wp14:editId="591D5806">
            <wp:extent cx="9777730" cy="2015490"/>
            <wp:effectExtent l="19050" t="19050" r="13970" b="22860"/>
            <wp:docPr id="222868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7730" cy="2015490"/>
                    </a:xfrm>
                    <a:prstGeom prst="rect">
                      <a:avLst/>
                    </a:prstGeom>
                    <a:noFill/>
                    <a:ln>
                      <a:solidFill>
                        <a:schemeClr val="accent1"/>
                      </a:solidFill>
                    </a:ln>
                  </pic:spPr>
                </pic:pic>
              </a:graphicData>
            </a:graphic>
          </wp:inline>
        </w:drawing>
      </w:r>
    </w:p>
    <w:p w14:paraId="70D0047F" w14:textId="3183CF5D" w:rsidR="00B52B1F" w:rsidRDefault="00FC670E" w:rsidP="00FE3B10">
      <w:pPr>
        <w:pStyle w:val="NumberedParagraph"/>
        <w:numPr>
          <w:ilvl w:val="0"/>
          <w:numId w:val="0"/>
        </w:numPr>
        <w:rPr>
          <w:sz w:val="18"/>
          <w:szCs w:val="18"/>
        </w:rPr>
      </w:pPr>
      <w:r w:rsidRPr="00AC3C62">
        <w:rPr>
          <w:color w:val="FF0000"/>
          <w:sz w:val="18"/>
          <w:szCs w:val="18"/>
        </w:rPr>
        <w:t>Note that The Stage and 5-year programme of conversions and extension</w:t>
      </w:r>
      <w:r w:rsidR="00FB73EB" w:rsidRPr="00AC3C62">
        <w:rPr>
          <w:color w:val="FF0000"/>
          <w:sz w:val="18"/>
          <w:szCs w:val="18"/>
        </w:rPr>
        <w:t>s</w:t>
      </w:r>
      <w:r w:rsidRPr="00AC3C62">
        <w:rPr>
          <w:color w:val="FF0000"/>
          <w:sz w:val="18"/>
          <w:szCs w:val="18"/>
        </w:rPr>
        <w:t xml:space="preserve"> influence 2025-26 to 2029-30, irrespective of scenarios that are modelled.</w:t>
      </w:r>
    </w:p>
    <w:p w14:paraId="1C50FD7D" w14:textId="16D8280F" w:rsidR="00FC670E" w:rsidRPr="009B474C" w:rsidRDefault="009B474C" w:rsidP="00FE3B10">
      <w:pPr>
        <w:pStyle w:val="NumberedParagraph"/>
        <w:numPr>
          <w:ilvl w:val="0"/>
          <w:numId w:val="0"/>
        </w:numPr>
        <w:rPr>
          <w:sz w:val="18"/>
          <w:szCs w:val="18"/>
        </w:rPr>
      </w:pPr>
      <w:r w:rsidRPr="009B474C">
        <w:rPr>
          <w:noProof/>
        </w:rPr>
        <w:drawing>
          <wp:inline distT="0" distB="0" distL="0" distR="0" wp14:anchorId="33E4AB64" wp14:editId="3C43F9EF">
            <wp:extent cx="9777730" cy="2015490"/>
            <wp:effectExtent l="19050" t="19050" r="13970" b="22860"/>
            <wp:docPr id="579816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2015490"/>
                    </a:xfrm>
                    <a:prstGeom prst="rect">
                      <a:avLst/>
                    </a:prstGeom>
                    <a:noFill/>
                    <a:ln>
                      <a:solidFill>
                        <a:schemeClr val="accent1"/>
                      </a:solidFill>
                    </a:ln>
                  </pic:spPr>
                </pic:pic>
              </a:graphicData>
            </a:graphic>
          </wp:inline>
        </w:drawing>
      </w:r>
    </w:p>
    <w:sectPr w:rsidR="00FC670E" w:rsidRPr="009B474C" w:rsidSect="00FE3B10">
      <w:pgSz w:w="16838" w:h="11906" w:orient="landscape"/>
      <w:pgMar w:top="1077" w:right="720" w:bottom="107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8E872" w14:textId="77777777" w:rsidR="00C06473" w:rsidRDefault="00C06473">
      <w:r>
        <w:separator/>
      </w:r>
    </w:p>
    <w:p w14:paraId="3D38E873" w14:textId="77777777" w:rsidR="00C06473" w:rsidRDefault="00C06473"/>
  </w:endnote>
  <w:endnote w:type="continuationSeparator" w:id="0">
    <w:p w14:paraId="3D38E874" w14:textId="77777777" w:rsidR="00C06473" w:rsidRDefault="00C06473">
      <w:r>
        <w:continuationSeparator/>
      </w:r>
    </w:p>
    <w:p w14:paraId="3D38E875" w14:textId="77777777" w:rsidR="00C06473" w:rsidRDefault="00C0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878" w14:textId="77777777" w:rsidR="00077A55" w:rsidRDefault="00077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8E879" w14:textId="77777777" w:rsidR="00077A55" w:rsidRDefault="00077A55">
    <w:pPr>
      <w:pStyle w:val="Footer"/>
    </w:pPr>
  </w:p>
  <w:p w14:paraId="3D38E87A" w14:textId="77777777" w:rsidR="00F363A5" w:rsidRDefault="00F363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2046" w14:textId="1B085E8D" w:rsidR="00952D6E" w:rsidRDefault="00952D6E">
    <w:pPr>
      <w:tabs>
        <w:tab w:val="center" w:pos="4550"/>
        <w:tab w:val="left" w:pos="5818"/>
      </w:tabs>
      <w:ind w:right="260"/>
      <w:jc w:val="right"/>
      <w:rPr>
        <w:color w:val="0F243E" w:themeColor="text2" w:themeShade="80"/>
        <w:szCs w:val="24"/>
      </w:rPr>
    </w:pPr>
    <w:r>
      <w:rPr>
        <w:color w:val="548DD4" w:themeColor="text2" w:themeTint="99"/>
        <w:spacing w:val="60"/>
        <w:szCs w:val="24"/>
      </w:rPr>
      <w:t>CONFIDENTIAL Page</w:t>
    </w:r>
    <w:r>
      <w:rPr>
        <w:color w:val="548DD4" w:themeColor="text2" w:themeTint="99"/>
        <w:szCs w:val="24"/>
      </w:rPr>
      <w:t xml:space="preserve"> </w:t>
    </w:r>
    <w:r>
      <w:rPr>
        <w:color w:val="17365D" w:themeColor="text2" w:themeShade="BF"/>
        <w:szCs w:val="24"/>
      </w:rPr>
      <w:fldChar w:fldCharType="begin"/>
    </w:r>
    <w:r>
      <w:rPr>
        <w:color w:val="17365D" w:themeColor="text2" w:themeShade="BF"/>
        <w:szCs w:val="24"/>
      </w:rPr>
      <w:instrText>PAGE   \* MERGEFORMAT</w:instrText>
    </w:r>
    <w:r>
      <w:rPr>
        <w:color w:val="17365D" w:themeColor="text2" w:themeShade="BF"/>
        <w:szCs w:val="24"/>
      </w:rPr>
      <w:fldChar w:fldCharType="separate"/>
    </w:r>
    <w:r>
      <w:rPr>
        <w:color w:val="17365D" w:themeColor="text2" w:themeShade="BF"/>
        <w:szCs w:val="24"/>
      </w:rPr>
      <w:t>1</w:t>
    </w:r>
    <w:r>
      <w:rPr>
        <w:color w:val="17365D" w:themeColor="text2" w:themeShade="BF"/>
        <w:szCs w:val="24"/>
      </w:rPr>
      <w:fldChar w:fldCharType="end"/>
    </w:r>
    <w:r>
      <w:rPr>
        <w:color w:val="17365D" w:themeColor="text2" w:themeShade="BF"/>
        <w:szCs w:val="24"/>
      </w:rPr>
      <w:t xml:space="preserve"> | </w:t>
    </w:r>
    <w:r>
      <w:rPr>
        <w:color w:val="17365D" w:themeColor="text2" w:themeShade="BF"/>
        <w:szCs w:val="24"/>
      </w:rPr>
      <w:fldChar w:fldCharType="begin"/>
    </w:r>
    <w:r>
      <w:rPr>
        <w:color w:val="17365D" w:themeColor="text2" w:themeShade="BF"/>
        <w:szCs w:val="24"/>
      </w:rPr>
      <w:instrText>NUMPAGES  \* Arabic  \* MERGEFORMAT</w:instrText>
    </w:r>
    <w:r>
      <w:rPr>
        <w:color w:val="17365D" w:themeColor="text2" w:themeShade="BF"/>
        <w:szCs w:val="24"/>
      </w:rPr>
      <w:fldChar w:fldCharType="separate"/>
    </w:r>
    <w:r>
      <w:rPr>
        <w:color w:val="17365D" w:themeColor="text2" w:themeShade="BF"/>
        <w:szCs w:val="24"/>
      </w:rPr>
      <w:t>1</w:t>
    </w:r>
    <w:r>
      <w:rPr>
        <w:color w:val="17365D" w:themeColor="text2" w:themeShade="BF"/>
        <w:szCs w:val="24"/>
      </w:rPr>
      <w:fldChar w:fldCharType="end"/>
    </w:r>
  </w:p>
  <w:p w14:paraId="3D38E87B" w14:textId="104E3DD7" w:rsidR="00077A55" w:rsidRDefault="00077A55" w:rsidP="00DC6B6D">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87D" w14:textId="77777777" w:rsidR="00B4189B" w:rsidRPr="00B4189B" w:rsidRDefault="00B4189B" w:rsidP="00B62D93">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8E86E" w14:textId="77777777" w:rsidR="00C06473" w:rsidRDefault="00C06473">
      <w:r>
        <w:separator/>
      </w:r>
    </w:p>
    <w:p w14:paraId="3D38E86F" w14:textId="77777777" w:rsidR="00C06473" w:rsidRDefault="00C06473"/>
  </w:footnote>
  <w:footnote w:type="continuationSeparator" w:id="0">
    <w:p w14:paraId="3D38E870" w14:textId="77777777" w:rsidR="00C06473" w:rsidRDefault="00C06473">
      <w:r>
        <w:continuationSeparator/>
      </w:r>
    </w:p>
    <w:p w14:paraId="3D38E871" w14:textId="77777777" w:rsidR="00C06473" w:rsidRDefault="00C0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876" w14:textId="77777777" w:rsidR="00602607" w:rsidRDefault="00602607" w:rsidP="0003664E">
    <w:pPr>
      <w:pStyle w:val="Header"/>
      <w:jc w:val="right"/>
    </w:pPr>
    <w:r w:rsidRPr="006404AF">
      <w:rPr>
        <w:b/>
        <w:noProof/>
        <w:lang w:eastAsia="en-GB"/>
      </w:rPr>
      <w:drawing>
        <wp:inline distT="0" distB="0" distL="0" distR="0" wp14:anchorId="3D38E87E" wp14:editId="3D38E87F">
          <wp:extent cx="1435608" cy="722376"/>
          <wp:effectExtent l="0" t="0" r="0" b="1905"/>
          <wp:docPr id="1" name="Picture 1" descr="Lu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Letters\LBC Logo\Luton Logo Black 4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722376"/>
                  </a:xfrm>
                  <a:prstGeom prst="rect">
                    <a:avLst/>
                  </a:prstGeom>
                  <a:noFill/>
                  <a:ln>
                    <a:noFill/>
                  </a:ln>
                </pic:spPr>
              </pic:pic>
            </a:graphicData>
          </a:graphic>
        </wp:inline>
      </w:drawing>
    </w:r>
  </w:p>
  <w:p w14:paraId="3D38E877" w14:textId="77777777" w:rsidR="00852204" w:rsidRDefault="00852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87C" w14:textId="77777777" w:rsidR="00FE10A7" w:rsidRPr="00FE10A7" w:rsidRDefault="00DD34BB" w:rsidP="00383FCD">
    <w:pPr>
      <w:jc w:val="center"/>
      <w:rPr>
        <w:i/>
      </w:rPr>
    </w:pPr>
    <w:sdt>
      <w:sdtPr>
        <w:rPr>
          <w:i/>
        </w:rPr>
        <w:id w:val="-2081587266"/>
        <w:docPartObj>
          <w:docPartGallery w:val="Watermarks"/>
        </w:docPartObj>
      </w:sdtPr>
      <w:sdtEndPr/>
      <w:sdtContent>
        <w:sdt>
          <w:sdtPr>
            <w:rPr>
              <w:i/>
            </w:rPr>
            <w:id w:val="1115713214"/>
            <w:docPartObj>
              <w:docPartGallery w:val="Watermarks"/>
            </w:docPartObj>
          </w:sdtPr>
          <w:sdtEndPr/>
          <w:sdtContent>
            <w:r w:rsidR="003A3487" w:rsidRPr="003A3487">
              <w:rPr>
                <w:i/>
                <w:noProof/>
                <w:lang w:eastAsia="en-GB"/>
              </w:rPr>
              <w:drawing>
                <wp:anchor distT="0" distB="0" distL="114300" distR="114300" simplePos="0" relativeHeight="251659264" behindDoc="1" locked="1" layoutInCell="0" allowOverlap="1" wp14:anchorId="3D38E880" wp14:editId="3D38E881">
                  <wp:simplePos x="0" y="0"/>
                  <wp:positionH relativeFrom="page">
                    <wp:align>center</wp:align>
                  </wp:positionH>
                  <wp:positionV relativeFrom="page">
                    <wp:align>center</wp:align>
                  </wp:positionV>
                  <wp:extent cx="7570800" cy="10706400"/>
                  <wp:effectExtent l="0" t="0" r="0" b="0"/>
                  <wp:wrapNone/>
                  <wp:docPr id="2" name="Letterhead" descr="Letterhead" titl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18823877" descr="\\corporate\ComServs\Electoral Registration\Letters\LBC Logo\76_3 Luton Borough Council Letterhead (no do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6B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C06D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DA8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07B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7E49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CE1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B40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0EC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6A3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27844"/>
    <w:multiLevelType w:val="hybridMultilevel"/>
    <w:tmpl w:val="1342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01135B"/>
    <w:multiLevelType w:val="hybridMultilevel"/>
    <w:tmpl w:val="972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87A1F"/>
    <w:multiLevelType w:val="hybridMultilevel"/>
    <w:tmpl w:val="4204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B0648"/>
    <w:multiLevelType w:val="hybridMultilevel"/>
    <w:tmpl w:val="5B9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B2FFD"/>
    <w:multiLevelType w:val="multilevel"/>
    <w:tmpl w:val="A44C7F0A"/>
    <w:lvl w:ilvl="0">
      <w:start w:val="1"/>
      <w:numFmt w:val="decimal"/>
      <w:pStyle w:val="NumberedParagraph"/>
      <w:lvlText w:val="%1."/>
      <w:lvlJc w:val="left"/>
      <w:pPr>
        <w:ind w:left="567" w:hanging="567"/>
      </w:pPr>
      <w:rPr>
        <w:rFonts w:hint="default"/>
        <w:b/>
        <w:i w:val="0"/>
      </w:rPr>
    </w:lvl>
    <w:lvl w:ilvl="1">
      <w:start w:val="1"/>
      <w:numFmt w:val="lowerRoman"/>
      <w:lvlText w:val="(%2)"/>
      <w:lvlJc w:val="left"/>
      <w:pPr>
        <w:ind w:left="1077" w:hanging="567"/>
      </w:pPr>
      <w:rPr>
        <w:rFonts w:hint="default"/>
        <w:b/>
        <w:i w:val="0"/>
      </w:rPr>
    </w:lvl>
    <w:lvl w:ilvl="2">
      <w:start w:val="1"/>
      <w:numFmt w:val="lowerRoman"/>
      <w:lvlText w:val="%3."/>
      <w:lvlJc w:val="left"/>
      <w:pPr>
        <w:ind w:left="1587" w:hanging="567"/>
      </w:pPr>
      <w:rPr>
        <w:rFonts w:hint="default"/>
      </w:rPr>
    </w:lvl>
    <w:lvl w:ilvl="3">
      <w:start w:val="1"/>
      <w:numFmt w:val="decimal"/>
      <w:lvlText w:val="%4."/>
      <w:lvlJc w:val="left"/>
      <w:pPr>
        <w:ind w:left="2097" w:hanging="567"/>
      </w:pPr>
      <w:rPr>
        <w:rFonts w:hint="default"/>
      </w:rPr>
    </w:lvl>
    <w:lvl w:ilvl="4">
      <w:start w:val="1"/>
      <w:numFmt w:val="lowerLetter"/>
      <w:lvlText w:val="%5."/>
      <w:lvlJc w:val="left"/>
      <w:pPr>
        <w:ind w:left="2607" w:hanging="567"/>
      </w:pPr>
      <w:rPr>
        <w:rFonts w:hint="default"/>
      </w:rPr>
    </w:lvl>
    <w:lvl w:ilvl="5">
      <w:start w:val="1"/>
      <w:numFmt w:val="lowerRoman"/>
      <w:lvlText w:val="%6."/>
      <w:lvlJc w:val="right"/>
      <w:pPr>
        <w:ind w:left="3117" w:hanging="567"/>
      </w:pPr>
      <w:rPr>
        <w:rFonts w:hint="default"/>
      </w:rPr>
    </w:lvl>
    <w:lvl w:ilvl="6">
      <w:start w:val="1"/>
      <w:numFmt w:val="decimal"/>
      <w:lvlText w:val="%7."/>
      <w:lvlJc w:val="left"/>
      <w:pPr>
        <w:ind w:left="3627" w:hanging="567"/>
      </w:pPr>
      <w:rPr>
        <w:rFonts w:hint="default"/>
      </w:rPr>
    </w:lvl>
    <w:lvl w:ilvl="7">
      <w:start w:val="1"/>
      <w:numFmt w:val="lowerLetter"/>
      <w:lvlText w:val="%8."/>
      <w:lvlJc w:val="left"/>
      <w:pPr>
        <w:ind w:left="4137" w:hanging="567"/>
      </w:pPr>
      <w:rPr>
        <w:rFonts w:hint="default"/>
      </w:rPr>
    </w:lvl>
    <w:lvl w:ilvl="8">
      <w:start w:val="1"/>
      <w:numFmt w:val="lowerRoman"/>
      <w:lvlText w:val="%9."/>
      <w:lvlJc w:val="right"/>
      <w:pPr>
        <w:ind w:left="4647" w:hanging="567"/>
      </w:pPr>
      <w:rPr>
        <w:rFonts w:hint="default"/>
      </w:rPr>
    </w:lvl>
  </w:abstractNum>
  <w:num w:numId="1" w16cid:durableId="81994693">
    <w:abstractNumId w:val="14"/>
  </w:num>
  <w:num w:numId="2" w16cid:durableId="1670214562">
    <w:abstractNumId w:val="12"/>
  </w:num>
  <w:num w:numId="3" w16cid:durableId="1715620919">
    <w:abstractNumId w:val="11"/>
  </w:num>
  <w:num w:numId="4" w16cid:durableId="1660888378">
    <w:abstractNumId w:val="13"/>
  </w:num>
  <w:num w:numId="5" w16cid:durableId="358244411">
    <w:abstractNumId w:val="10"/>
  </w:num>
  <w:num w:numId="6" w16cid:durableId="795416844">
    <w:abstractNumId w:val="14"/>
    <w:lvlOverride w:ilvl="0">
      <w:startOverride w:val="1"/>
    </w:lvlOverride>
  </w:num>
  <w:num w:numId="7" w16cid:durableId="951476728">
    <w:abstractNumId w:val="9"/>
  </w:num>
  <w:num w:numId="8" w16cid:durableId="1025256724">
    <w:abstractNumId w:val="7"/>
  </w:num>
  <w:num w:numId="9" w16cid:durableId="35745169">
    <w:abstractNumId w:val="6"/>
  </w:num>
  <w:num w:numId="10" w16cid:durableId="503861784">
    <w:abstractNumId w:val="5"/>
  </w:num>
  <w:num w:numId="11" w16cid:durableId="1856378554">
    <w:abstractNumId w:val="4"/>
  </w:num>
  <w:num w:numId="12" w16cid:durableId="1984382872">
    <w:abstractNumId w:val="8"/>
  </w:num>
  <w:num w:numId="13" w16cid:durableId="127824818">
    <w:abstractNumId w:val="3"/>
  </w:num>
  <w:num w:numId="14" w16cid:durableId="1219128302">
    <w:abstractNumId w:val="2"/>
  </w:num>
  <w:num w:numId="15" w16cid:durableId="1946497809">
    <w:abstractNumId w:val="1"/>
  </w:num>
  <w:num w:numId="16" w16cid:durableId="142607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473"/>
    <w:rsid w:val="00020185"/>
    <w:rsid w:val="00022AE2"/>
    <w:rsid w:val="00032E84"/>
    <w:rsid w:val="0003664E"/>
    <w:rsid w:val="00046407"/>
    <w:rsid w:val="00050D8F"/>
    <w:rsid w:val="00051396"/>
    <w:rsid w:val="00055936"/>
    <w:rsid w:val="00065FC5"/>
    <w:rsid w:val="000675B8"/>
    <w:rsid w:val="00077A55"/>
    <w:rsid w:val="00085864"/>
    <w:rsid w:val="00085B1F"/>
    <w:rsid w:val="0008634A"/>
    <w:rsid w:val="00094553"/>
    <w:rsid w:val="000A0160"/>
    <w:rsid w:val="000B44CF"/>
    <w:rsid w:val="000B7DA3"/>
    <w:rsid w:val="000C0E9B"/>
    <w:rsid w:val="000C602C"/>
    <w:rsid w:val="000D1B2D"/>
    <w:rsid w:val="000D385F"/>
    <w:rsid w:val="000E057E"/>
    <w:rsid w:val="000E3A24"/>
    <w:rsid w:val="000E48EF"/>
    <w:rsid w:val="000E5578"/>
    <w:rsid w:val="000E6FAC"/>
    <w:rsid w:val="000E77F1"/>
    <w:rsid w:val="000F24C0"/>
    <w:rsid w:val="0010557C"/>
    <w:rsid w:val="00112B53"/>
    <w:rsid w:val="00114525"/>
    <w:rsid w:val="00126707"/>
    <w:rsid w:val="001304D7"/>
    <w:rsid w:val="00142029"/>
    <w:rsid w:val="001420B7"/>
    <w:rsid w:val="00152E27"/>
    <w:rsid w:val="001645A6"/>
    <w:rsid w:val="00172B66"/>
    <w:rsid w:val="00180368"/>
    <w:rsid w:val="00181F71"/>
    <w:rsid w:val="00184605"/>
    <w:rsid w:val="00185988"/>
    <w:rsid w:val="001926CC"/>
    <w:rsid w:val="0019366E"/>
    <w:rsid w:val="00194AD8"/>
    <w:rsid w:val="001972C9"/>
    <w:rsid w:val="001A1FFA"/>
    <w:rsid w:val="001B3602"/>
    <w:rsid w:val="001B7518"/>
    <w:rsid w:val="001C5A14"/>
    <w:rsid w:val="001D68FA"/>
    <w:rsid w:val="001D7505"/>
    <w:rsid w:val="001E4F9D"/>
    <w:rsid w:val="001F341B"/>
    <w:rsid w:val="00205D30"/>
    <w:rsid w:val="00210C42"/>
    <w:rsid w:val="00232A05"/>
    <w:rsid w:val="002404B9"/>
    <w:rsid w:val="0025611D"/>
    <w:rsid w:val="002565CD"/>
    <w:rsid w:val="0026258A"/>
    <w:rsid w:val="00262F94"/>
    <w:rsid w:val="0027179D"/>
    <w:rsid w:val="0027405C"/>
    <w:rsid w:val="00274618"/>
    <w:rsid w:val="002823A5"/>
    <w:rsid w:val="00286249"/>
    <w:rsid w:val="00295D35"/>
    <w:rsid w:val="002B1311"/>
    <w:rsid w:val="002C05FC"/>
    <w:rsid w:val="002C4732"/>
    <w:rsid w:val="002D1BC3"/>
    <w:rsid w:val="002D3C8F"/>
    <w:rsid w:val="002E4C8E"/>
    <w:rsid w:val="002F65E3"/>
    <w:rsid w:val="002F7BE0"/>
    <w:rsid w:val="00305F6E"/>
    <w:rsid w:val="003119E2"/>
    <w:rsid w:val="00313910"/>
    <w:rsid w:val="003247E1"/>
    <w:rsid w:val="00327B1A"/>
    <w:rsid w:val="00327B58"/>
    <w:rsid w:val="003352B2"/>
    <w:rsid w:val="003367A6"/>
    <w:rsid w:val="003554BB"/>
    <w:rsid w:val="00361030"/>
    <w:rsid w:val="0036586A"/>
    <w:rsid w:val="0037092C"/>
    <w:rsid w:val="00374ED3"/>
    <w:rsid w:val="0038017D"/>
    <w:rsid w:val="0038316B"/>
    <w:rsid w:val="00383FCD"/>
    <w:rsid w:val="003860B5"/>
    <w:rsid w:val="003939E7"/>
    <w:rsid w:val="00393E89"/>
    <w:rsid w:val="003976A7"/>
    <w:rsid w:val="003A3487"/>
    <w:rsid w:val="003A560D"/>
    <w:rsid w:val="003B18FA"/>
    <w:rsid w:val="003C0731"/>
    <w:rsid w:val="003C0E4E"/>
    <w:rsid w:val="003E0F3F"/>
    <w:rsid w:val="003F40F1"/>
    <w:rsid w:val="003F6F29"/>
    <w:rsid w:val="00405FFD"/>
    <w:rsid w:val="00407FCF"/>
    <w:rsid w:val="00417172"/>
    <w:rsid w:val="0041763C"/>
    <w:rsid w:val="00417655"/>
    <w:rsid w:val="0042578F"/>
    <w:rsid w:val="00434BB4"/>
    <w:rsid w:val="00440A2D"/>
    <w:rsid w:val="004525DC"/>
    <w:rsid w:val="00455984"/>
    <w:rsid w:val="00457FAC"/>
    <w:rsid w:val="0046614B"/>
    <w:rsid w:val="004662B5"/>
    <w:rsid w:val="00483A9F"/>
    <w:rsid w:val="00487428"/>
    <w:rsid w:val="004904BE"/>
    <w:rsid w:val="00496703"/>
    <w:rsid w:val="004A7534"/>
    <w:rsid w:val="004B04EB"/>
    <w:rsid w:val="004B0A32"/>
    <w:rsid w:val="004C255E"/>
    <w:rsid w:val="004D3726"/>
    <w:rsid w:val="004D3D1F"/>
    <w:rsid w:val="004D6040"/>
    <w:rsid w:val="004D6089"/>
    <w:rsid w:val="004E020C"/>
    <w:rsid w:val="004E1115"/>
    <w:rsid w:val="00500F07"/>
    <w:rsid w:val="005012A2"/>
    <w:rsid w:val="005012F2"/>
    <w:rsid w:val="00510C3A"/>
    <w:rsid w:val="00510E64"/>
    <w:rsid w:val="00525DB7"/>
    <w:rsid w:val="00535495"/>
    <w:rsid w:val="00537812"/>
    <w:rsid w:val="00537BD4"/>
    <w:rsid w:val="00554FA3"/>
    <w:rsid w:val="005619E6"/>
    <w:rsid w:val="0056348F"/>
    <w:rsid w:val="00563B5B"/>
    <w:rsid w:val="00566274"/>
    <w:rsid w:val="0056657F"/>
    <w:rsid w:val="00576B52"/>
    <w:rsid w:val="005778A5"/>
    <w:rsid w:val="00581B7D"/>
    <w:rsid w:val="00587EA8"/>
    <w:rsid w:val="005A0BB3"/>
    <w:rsid w:val="005A2E8D"/>
    <w:rsid w:val="005A3689"/>
    <w:rsid w:val="005A71A5"/>
    <w:rsid w:val="005A7C3A"/>
    <w:rsid w:val="005A7ECE"/>
    <w:rsid w:val="005B4139"/>
    <w:rsid w:val="005C5408"/>
    <w:rsid w:val="005D1411"/>
    <w:rsid w:val="005D30C3"/>
    <w:rsid w:val="005D3778"/>
    <w:rsid w:val="005D4BBA"/>
    <w:rsid w:val="005F1E8E"/>
    <w:rsid w:val="005F60CA"/>
    <w:rsid w:val="005F790F"/>
    <w:rsid w:val="00602607"/>
    <w:rsid w:val="0061040C"/>
    <w:rsid w:val="0061111E"/>
    <w:rsid w:val="00612DE7"/>
    <w:rsid w:val="00612F1E"/>
    <w:rsid w:val="00614BC4"/>
    <w:rsid w:val="0062500C"/>
    <w:rsid w:val="00636076"/>
    <w:rsid w:val="006404AF"/>
    <w:rsid w:val="00642BD1"/>
    <w:rsid w:val="00643CEE"/>
    <w:rsid w:val="00654EC4"/>
    <w:rsid w:val="006554F9"/>
    <w:rsid w:val="00656309"/>
    <w:rsid w:val="00657393"/>
    <w:rsid w:val="00661AEF"/>
    <w:rsid w:val="006634AE"/>
    <w:rsid w:val="00663FE0"/>
    <w:rsid w:val="00671E47"/>
    <w:rsid w:val="00673B4C"/>
    <w:rsid w:val="00682CA6"/>
    <w:rsid w:val="00686054"/>
    <w:rsid w:val="00693DDD"/>
    <w:rsid w:val="006947EE"/>
    <w:rsid w:val="006976A9"/>
    <w:rsid w:val="006A5233"/>
    <w:rsid w:val="006B0AA1"/>
    <w:rsid w:val="006B1B89"/>
    <w:rsid w:val="006B2C22"/>
    <w:rsid w:val="006B7010"/>
    <w:rsid w:val="006C165D"/>
    <w:rsid w:val="006E1A43"/>
    <w:rsid w:val="006E2DAD"/>
    <w:rsid w:val="006E6182"/>
    <w:rsid w:val="006F0961"/>
    <w:rsid w:val="006F1664"/>
    <w:rsid w:val="006F19CB"/>
    <w:rsid w:val="00712170"/>
    <w:rsid w:val="007242EC"/>
    <w:rsid w:val="007327F5"/>
    <w:rsid w:val="007333F5"/>
    <w:rsid w:val="00737311"/>
    <w:rsid w:val="007441F5"/>
    <w:rsid w:val="00745C1C"/>
    <w:rsid w:val="00745E4F"/>
    <w:rsid w:val="00750241"/>
    <w:rsid w:val="00753D4D"/>
    <w:rsid w:val="007551EA"/>
    <w:rsid w:val="00765AF4"/>
    <w:rsid w:val="00767DC2"/>
    <w:rsid w:val="00767EA3"/>
    <w:rsid w:val="00797E71"/>
    <w:rsid w:val="007A095F"/>
    <w:rsid w:val="007B0CB0"/>
    <w:rsid w:val="007B2A3E"/>
    <w:rsid w:val="007B4CA9"/>
    <w:rsid w:val="007C6764"/>
    <w:rsid w:val="007D58BA"/>
    <w:rsid w:val="007E4328"/>
    <w:rsid w:val="007F03A9"/>
    <w:rsid w:val="008019BA"/>
    <w:rsid w:val="00802464"/>
    <w:rsid w:val="00804006"/>
    <w:rsid w:val="008043C8"/>
    <w:rsid w:val="008201A5"/>
    <w:rsid w:val="008211FF"/>
    <w:rsid w:val="00831A03"/>
    <w:rsid w:val="00832387"/>
    <w:rsid w:val="0083377D"/>
    <w:rsid w:val="008429FC"/>
    <w:rsid w:val="008442B7"/>
    <w:rsid w:val="00844FFE"/>
    <w:rsid w:val="008459DC"/>
    <w:rsid w:val="00846509"/>
    <w:rsid w:val="008507DD"/>
    <w:rsid w:val="008516D4"/>
    <w:rsid w:val="00852204"/>
    <w:rsid w:val="00857FD1"/>
    <w:rsid w:val="00861AFB"/>
    <w:rsid w:val="00870A86"/>
    <w:rsid w:val="00876A77"/>
    <w:rsid w:val="00876CF7"/>
    <w:rsid w:val="008902B4"/>
    <w:rsid w:val="0089051B"/>
    <w:rsid w:val="00891EBF"/>
    <w:rsid w:val="008928AA"/>
    <w:rsid w:val="00895756"/>
    <w:rsid w:val="008A2AD7"/>
    <w:rsid w:val="008A3A34"/>
    <w:rsid w:val="008A5702"/>
    <w:rsid w:val="008B6695"/>
    <w:rsid w:val="008C21BC"/>
    <w:rsid w:val="008C7C61"/>
    <w:rsid w:val="008E5573"/>
    <w:rsid w:val="008F6621"/>
    <w:rsid w:val="009013CE"/>
    <w:rsid w:val="0090187E"/>
    <w:rsid w:val="00901B88"/>
    <w:rsid w:val="00902CB8"/>
    <w:rsid w:val="00903195"/>
    <w:rsid w:val="0090412C"/>
    <w:rsid w:val="00905AD1"/>
    <w:rsid w:val="00913000"/>
    <w:rsid w:val="0092155B"/>
    <w:rsid w:val="00924678"/>
    <w:rsid w:val="00926AB0"/>
    <w:rsid w:val="009364D1"/>
    <w:rsid w:val="0093736B"/>
    <w:rsid w:val="00946978"/>
    <w:rsid w:val="00947D97"/>
    <w:rsid w:val="00952D6E"/>
    <w:rsid w:val="009614ED"/>
    <w:rsid w:val="00966B34"/>
    <w:rsid w:val="00967CCE"/>
    <w:rsid w:val="009736B2"/>
    <w:rsid w:val="00976EA8"/>
    <w:rsid w:val="00976EDF"/>
    <w:rsid w:val="00980220"/>
    <w:rsid w:val="009B1865"/>
    <w:rsid w:val="009B474C"/>
    <w:rsid w:val="009B60D1"/>
    <w:rsid w:val="009C57CE"/>
    <w:rsid w:val="009D34EC"/>
    <w:rsid w:val="009E56A5"/>
    <w:rsid w:val="009F50A9"/>
    <w:rsid w:val="00A043F7"/>
    <w:rsid w:val="00A076D8"/>
    <w:rsid w:val="00A079C4"/>
    <w:rsid w:val="00A125AE"/>
    <w:rsid w:val="00A132A4"/>
    <w:rsid w:val="00A14C26"/>
    <w:rsid w:val="00A17B33"/>
    <w:rsid w:val="00A24A44"/>
    <w:rsid w:val="00A31883"/>
    <w:rsid w:val="00A34DA4"/>
    <w:rsid w:val="00A45567"/>
    <w:rsid w:val="00A46046"/>
    <w:rsid w:val="00A51AAA"/>
    <w:rsid w:val="00A53351"/>
    <w:rsid w:val="00A6449E"/>
    <w:rsid w:val="00A72EE4"/>
    <w:rsid w:val="00A74A8D"/>
    <w:rsid w:val="00A77041"/>
    <w:rsid w:val="00A846A7"/>
    <w:rsid w:val="00AA5244"/>
    <w:rsid w:val="00AA532A"/>
    <w:rsid w:val="00AB7DDA"/>
    <w:rsid w:val="00AC2308"/>
    <w:rsid w:val="00AC3C62"/>
    <w:rsid w:val="00AC7ECD"/>
    <w:rsid w:val="00AD5376"/>
    <w:rsid w:val="00AF02AD"/>
    <w:rsid w:val="00AF455B"/>
    <w:rsid w:val="00AF5F07"/>
    <w:rsid w:val="00AF7896"/>
    <w:rsid w:val="00B06B6D"/>
    <w:rsid w:val="00B11BB9"/>
    <w:rsid w:val="00B16A23"/>
    <w:rsid w:val="00B16F75"/>
    <w:rsid w:val="00B174A1"/>
    <w:rsid w:val="00B2617C"/>
    <w:rsid w:val="00B32483"/>
    <w:rsid w:val="00B4189B"/>
    <w:rsid w:val="00B52B1F"/>
    <w:rsid w:val="00B534B4"/>
    <w:rsid w:val="00B54B81"/>
    <w:rsid w:val="00B62D93"/>
    <w:rsid w:val="00B67BA2"/>
    <w:rsid w:val="00B72CC4"/>
    <w:rsid w:val="00B73AD7"/>
    <w:rsid w:val="00B740CF"/>
    <w:rsid w:val="00B76655"/>
    <w:rsid w:val="00B779B9"/>
    <w:rsid w:val="00B9106F"/>
    <w:rsid w:val="00B95F71"/>
    <w:rsid w:val="00BA476D"/>
    <w:rsid w:val="00BA5D80"/>
    <w:rsid w:val="00BB1B5A"/>
    <w:rsid w:val="00BC2D29"/>
    <w:rsid w:val="00BC5959"/>
    <w:rsid w:val="00BD04FA"/>
    <w:rsid w:val="00BD405F"/>
    <w:rsid w:val="00BD5D3D"/>
    <w:rsid w:val="00BE07A5"/>
    <w:rsid w:val="00BE2CD4"/>
    <w:rsid w:val="00BE597A"/>
    <w:rsid w:val="00BE670F"/>
    <w:rsid w:val="00BE70D6"/>
    <w:rsid w:val="00BF4012"/>
    <w:rsid w:val="00BF7872"/>
    <w:rsid w:val="00C00868"/>
    <w:rsid w:val="00C054AB"/>
    <w:rsid w:val="00C055E7"/>
    <w:rsid w:val="00C06473"/>
    <w:rsid w:val="00C114F8"/>
    <w:rsid w:val="00C13A85"/>
    <w:rsid w:val="00C168D0"/>
    <w:rsid w:val="00C171F0"/>
    <w:rsid w:val="00C22F84"/>
    <w:rsid w:val="00C260A2"/>
    <w:rsid w:val="00C32E77"/>
    <w:rsid w:val="00C33B0B"/>
    <w:rsid w:val="00C44D04"/>
    <w:rsid w:val="00C50079"/>
    <w:rsid w:val="00C602F7"/>
    <w:rsid w:val="00C72073"/>
    <w:rsid w:val="00C737BE"/>
    <w:rsid w:val="00C82390"/>
    <w:rsid w:val="00C869DE"/>
    <w:rsid w:val="00C87770"/>
    <w:rsid w:val="00C93DE5"/>
    <w:rsid w:val="00CA6D01"/>
    <w:rsid w:val="00CB3D64"/>
    <w:rsid w:val="00CC65AA"/>
    <w:rsid w:val="00CD225C"/>
    <w:rsid w:val="00CD288C"/>
    <w:rsid w:val="00CD5789"/>
    <w:rsid w:val="00D04950"/>
    <w:rsid w:val="00D10426"/>
    <w:rsid w:val="00D11D97"/>
    <w:rsid w:val="00D14D43"/>
    <w:rsid w:val="00D15F85"/>
    <w:rsid w:val="00D37E68"/>
    <w:rsid w:val="00D44BB4"/>
    <w:rsid w:val="00D47A2E"/>
    <w:rsid w:val="00D64D97"/>
    <w:rsid w:val="00D73F9D"/>
    <w:rsid w:val="00D74EBE"/>
    <w:rsid w:val="00D75A35"/>
    <w:rsid w:val="00D92C84"/>
    <w:rsid w:val="00D9605D"/>
    <w:rsid w:val="00DB16B0"/>
    <w:rsid w:val="00DB7106"/>
    <w:rsid w:val="00DC2295"/>
    <w:rsid w:val="00DC596C"/>
    <w:rsid w:val="00DC6B6D"/>
    <w:rsid w:val="00DD0EFA"/>
    <w:rsid w:val="00DD1E6B"/>
    <w:rsid w:val="00DD34BB"/>
    <w:rsid w:val="00DD7701"/>
    <w:rsid w:val="00DE42D3"/>
    <w:rsid w:val="00DE6531"/>
    <w:rsid w:val="00DF110F"/>
    <w:rsid w:val="00DF49B4"/>
    <w:rsid w:val="00DF5D38"/>
    <w:rsid w:val="00E11039"/>
    <w:rsid w:val="00E12A06"/>
    <w:rsid w:val="00E1533D"/>
    <w:rsid w:val="00E1579C"/>
    <w:rsid w:val="00E20268"/>
    <w:rsid w:val="00E226EF"/>
    <w:rsid w:val="00E2312F"/>
    <w:rsid w:val="00E24D8B"/>
    <w:rsid w:val="00E27416"/>
    <w:rsid w:val="00E33DF0"/>
    <w:rsid w:val="00E36D57"/>
    <w:rsid w:val="00E40205"/>
    <w:rsid w:val="00E447D0"/>
    <w:rsid w:val="00E44B95"/>
    <w:rsid w:val="00E465A2"/>
    <w:rsid w:val="00E46617"/>
    <w:rsid w:val="00E50613"/>
    <w:rsid w:val="00E509E0"/>
    <w:rsid w:val="00E520C1"/>
    <w:rsid w:val="00E53A44"/>
    <w:rsid w:val="00E552AE"/>
    <w:rsid w:val="00E55B55"/>
    <w:rsid w:val="00E57751"/>
    <w:rsid w:val="00E61716"/>
    <w:rsid w:val="00E67A12"/>
    <w:rsid w:val="00E71BFE"/>
    <w:rsid w:val="00E87976"/>
    <w:rsid w:val="00EA4668"/>
    <w:rsid w:val="00EC2FD2"/>
    <w:rsid w:val="00EC7254"/>
    <w:rsid w:val="00EC79BB"/>
    <w:rsid w:val="00EE084B"/>
    <w:rsid w:val="00EE31CF"/>
    <w:rsid w:val="00EE58CF"/>
    <w:rsid w:val="00EE68F5"/>
    <w:rsid w:val="00F01535"/>
    <w:rsid w:val="00F020D3"/>
    <w:rsid w:val="00F07893"/>
    <w:rsid w:val="00F13519"/>
    <w:rsid w:val="00F138D5"/>
    <w:rsid w:val="00F23985"/>
    <w:rsid w:val="00F27F6F"/>
    <w:rsid w:val="00F32096"/>
    <w:rsid w:val="00F34C6C"/>
    <w:rsid w:val="00F363A5"/>
    <w:rsid w:val="00F519C7"/>
    <w:rsid w:val="00F532EB"/>
    <w:rsid w:val="00F53EA9"/>
    <w:rsid w:val="00F54F61"/>
    <w:rsid w:val="00F57A4C"/>
    <w:rsid w:val="00F57F5E"/>
    <w:rsid w:val="00F6614F"/>
    <w:rsid w:val="00F81741"/>
    <w:rsid w:val="00F92779"/>
    <w:rsid w:val="00F929AE"/>
    <w:rsid w:val="00F97D47"/>
    <w:rsid w:val="00FA138C"/>
    <w:rsid w:val="00FA1F0C"/>
    <w:rsid w:val="00FA3C76"/>
    <w:rsid w:val="00FB28F3"/>
    <w:rsid w:val="00FB497C"/>
    <w:rsid w:val="00FB55E0"/>
    <w:rsid w:val="00FB73EB"/>
    <w:rsid w:val="00FB7C85"/>
    <w:rsid w:val="00FC01A8"/>
    <w:rsid w:val="00FC4368"/>
    <w:rsid w:val="00FC670E"/>
    <w:rsid w:val="00FC73F3"/>
    <w:rsid w:val="00FD36ED"/>
    <w:rsid w:val="00FE10A7"/>
    <w:rsid w:val="00FE3B10"/>
    <w:rsid w:val="00FF2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D38E864"/>
  <w15:docId w15:val="{644B1F62-22BA-4767-A265-FD512229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4D1"/>
    <w:pPr>
      <w:overflowPunct w:val="0"/>
      <w:autoSpaceDE w:val="0"/>
      <w:autoSpaceDN w:val="0"/>
      <w:adjustRightInd w:val="0"/>
      <w:spacing w:after="120"/>
      <w:textAlignment w:val="baseline"/>
    </w:pPr>
    <w:rPr>
      <w:rFonts w:ascii="Arial" w:hAnsi="Arial"/>
      <w:sz w:val="24"/>
      <w:lang w:eastAsia="en-US"/>
    </w:rPr>
  </w:style>
  <w:style w:type="paragraph" w:styleId="Heading1">
    <w:name w:val="heading 1"/>
    <w:basedOn w:val="Normal"/>
    <w:next w:val="Normal"/>
    <w:link w:val="Heading1Char"/>
    <w:uiPriority w:val="9"/>
    <w:rsid w:val="00311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3119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82390"/>
    <w:pPr>
      <w:tabs>
        <w:tab w:val="center" w:pos="4153"/>
        <w:tab w:val="right" w:pos="8306"/>
      </w:tabs>
    </w:pPr>
  </w:style>
  <w:style w:type="character" w:customStyle="1" w:styleId="FooterChar">
    <w:name w:val="Footer Char"/>
    <w:link w:val="Footer"/>
    <w:uiPriority w:val="99"/>
    <w:semiHidden/>
    <w:locked/>
    <w:rsid w:val="00876CF7"/>
    <w:rPr>
      <w:rFonts w:cs="Times New Roman"/>
      <w:lang w:val="x-none" w:eastAsia="en-US"/>
    </w:rPr>
  </w:style>
  <w:style w:type="character" w:styleId="PageNumber">
    <w:name w:val="page number"/>
    <w:uiPriority w:val="99"/>
    <w:semiHidden/>
    <w:rsid w:val="00C82390"/>
    <w:rPr>
      <w:rFonts w:cs="Times New Roman"/>
    </w:rPr>
  </w:style>
  <w:style w:type="paragraph" w:styleId="Header">
    <w:name w:val="header"/>
    <w:basedOn w:val="Normal"/>
    <w:link w:val="HeaderChar"/>
    <w:uiPriority w:val="99"/>
    <w:unhideWhenUsed/>
    <w:rsid w:val="003A3487"/>
    <w:pPr>
      <w:tabs>
        <w:tab w:val="center" w:pos="4513"/>
        <w:tab w:val="right" w:pos="9026"/>
      </w:tabs>
      <w:spacing w:after="0"/>
    </w:pPr>
  </w:style>
  <w:style w:type="character" w:customStyle="1" w:styleId="HeaderChar">
    <w:name w:val="Header Char"/>
    <w:basedOn w:val="DefaultParagraphFont"/>
    <w:link w:val="Header"/>
    <w:uiPriority w:val="99"/>
    <w:rsid w:val="003A3487"/>
    <w:rPr>
      <w:rFonts w:ascii="Arial" w:hAnsi="Arial"/>
      <w:sz w:val="24"/>
      <w:lang w:eastAsia="en-US"/>
    </w:rPr>
  </w:style>
  <w:style w:type="paragraph" w:customStyle="1" w:styleId="SectionHeader">
    <w:name w:val="Section Header"/>
    <w:basedOn w:val="Normal"/>
    <w:next w:val="NumberedParagraph"/>
    <w:link w:val="SectionHeaderChar"/>
    <w:qFormat/>
    <w:rsid w:val="00E20268"/>
    <w:pPr>
      <w:keepNext/>
      <w:spacing w:before="240"/>
    </w:pPr>
    <w:rPr>
      <w:b/>
    </w:rPr>
  </w:style>
  <w:style w:type="table" w:styleId="GridTable5Dark">
    <w:name w:val="Grid Table 5 Dark"/>
    <w:basedOn w:val="TableNormal"/>
    <w:uiPriority w:val="50"/>
    <w:rsid w:val="00767E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ectionHeaderChar">
    <w:name w:val="Section Header Char"/>
    <w:basedOn w:val="DefaultParagraphFont"/>
    <w:link w:val="SectionHeader"/>
    <w:rsid w:val="00E20268"/>
    <w:rPr>
      <w:rFonts w:ascii="Arial" w:hAnsi="Arial"/>
      <w:b/>
      <w:sz w:val="24"/>
      <w:lang w:eastAsia="en-US"/>
    </w:rPr>
  </w:style>
  <w:style w:type="table" w:styleId="TableGrid">
    <w:name w:val="Table Grid"/>
    <w:basedOn w:val="TableNormal"/>
    <w:uiPriority w:val="59"/>
    <w:rsid w:val="00A24A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center"/>
      </w:pPr>
      <w:rPr>
        <w:b w:val="0"/>
        <w:sz w:val="20"/>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shd w:val="clear" w:color="auto" w:fill="FFFFFF" w:themeFill="background1"/>
      </w:tcPr>
    </w:tblStylePr>
    <w:tblStylePr w:type="firstCol">
      <w:rPr>
        <w:b/>
      </w:rPr>
    </w:tblStylePr>
  </w:style>
  <w:style w:type="character" w:customStyle="1" w:styleId="Heading2Char">
    <w:name w:val="Heading 2 Char"/>
    <w:basedOn w:val="DefaultParagraphFont"/>
    <w:link w:val="Heading2"/>
    <w:uiPriority w:val="9"/>
    <w:rsid w:val="003119E2"/>
    <w:rPr>
      <w:rFonts w:asciiTheme="majorHAnsi" w:eastAsiaTheme="majorEastAsia" w:hAnsiTheme="majorHAnsi" w:cstheme="majorBidi"/>
      <w:color w:val="365F91" w:themeColor="accent1" w:themeShade="BF"/>
      <w:sz w:val="26"/>
      <w:szCs w:val="26"/>
      <w:lang w:eastAsia="en-US"/>
    </w:rPr>
  </w:style>
  <w:style w:type="character" w:styleId="PlaceholderText">
    <w:name w:val="Placeholder Text"/>
    <w:basedOn w:val="DefaultParagraphFont"/>
    <w:uiPriority w:val="99"/>
    <w:semiHidden/>
    <w:rsid w:val="0090187E"/>
    <w:rPr>
      <w:color w:val="808080"/>
    </w:rPr>
  </w:style>
  <w:style w:type="paragraph" w:styleId="BalloonText">
    <w:name w:val="Balloon Text"/>
    <w:basedOn w:val="Normal"/>
    <w:link w:val="BalloonTextChar"/>
    <w:uiPriority w:val="99"/>
    <w:semiHidden/>
    <w:unhideWhenUsed/>
    <w:rsid w:val="0090187E"/>
    <w:rPr>
      <w:rFonts w:ascii="Tahoma" w:hAnsi="Tahoma" w:cs="Tahoma"/>
      <w:sz w:val="16"/>
      <w:szCs w:val="16"/>
    </w:rPr>
  </w:style>
  <w:style w:type="character" w:customStyle="1" w:styleId="BalloonTextChar">
    <w:name w:val="Balloon Text Char"/>
    <w:basedOn w:val="DefaultParagraphFont"/>
    <w:link w:val="BalloonText"/>
    <w:uiPriority w:val="99"/>
    <w:semiHidden/>
    <w:rsid w:val="0090187E"/>
    <w:rPr>
      <w:rFonts w:ascii="Tahoma" w:hAnsi="Tahoma" w:cs="Tahoma"/>
      <w:sz w:val="16"/>
      <w:szCs w:val="16"/>
      <w:lang w:eastAsia="en-US"/>
    </w:rPr>
  </w:style>
  <w:style w:type="character" w:customStyle="1" w:styleId="Heading1Char">
    <w:name w:val="Heading 1 Char"/>
    <w:basedOn w:val="DefaultParagraphFont"/>
    <w:link w:val="Heading1"/>
    <w:uiPriority w:val="9"/>
    <w:rsid w:val="003119E2"/>
    <w:rPr>
      <w:rFonts w:asciiTheme="majorHAnsi" w:eastAsiaTheme="majorEastAsia" w:hAnsiTheme="majorHAnsi" w:cstheme="majorBidi"/>
      <w:color w:val="365F91" w:themeColor="accent1" w:themeShade="BF"/>
      <w:sz w:val="32"/>
      <w:szCs w:val="32"/>
      <w:lang w:eastAsia="en-US"/>
    </w:rPr>
  </w:style>
  <w:style w:type="paragraph" w:styleId="ListParagraph">
    <w:name w:val="List Paragraph"/>
    <w:basedOn w:val="Normal"/>
    <w:link w:val="ListParagraphChar"/>
    <w:uiPriority w:val="34"/>
    <w:rsid w:val="005D3778"/>
    <w:pPr>
      <w:ind w:left="720"/>
      <w:contextualSpacing/>
    </w:pPr>
  </w:style>
  <w:style w:type="paragraph" w:customStyle="1" w:styleId="NumberedParagraph">
    <w:name w:val="Numbered Paragraph"/>
    <w:basedOn w:val="ListParagraph"/>
    <w:link w:val="NumberedParagraphChar"/>
    <w:qFormat/>
    <w:rsid w:val="00FB55E0"/>
    <w:pPr>
      <w:numPr>
        <w:numId w:val="1"/>
      </w:numPr>
      <w:spacing w:after="240"/>
      <w:contextualSpacing w:val="0"/>
    </w:pPr>
  </w:style>
  <w:style w:type="character" w:customStyle="1" w:styleId="ListParagraphChar">
    <w:name w:val="List Paragraph Char"/>
    <w:basedOn w:val="DefaultParagraphFont"/>
    <w:link w:val="ListParagraph"/>
    <w:uiPriority w:val="34"/>
    <w:rsid w:val="005D3778"/>
    <w:rPr>
      <w:rFonts w:ascii="Arial" w:hAnsi="Arial"/>
      <w:sz w:val="24"/>
      <w:lang w:eastAsia="en-US"/>
    </w:rPr>
  </w:style>
  <w:style w:type="character" w:customStyle="1" w:styleId="NumberedParagraphChar">
    <w:name w:val="Numbered Paragraph Char"/>
    <w:basedOn w:val="ListParagraphChar"/>
    <w:link w:val="NumberedParagraph"/>
    <w:rsid w:val="00FB55E0"/>
    <w:rPr>
      <w:rFonts w:ascii="Arial" w:hAnsi="Arial"/>
      <w:sz w:val="24"/>
      <w:lang w:eastAsia="en-US"/>
    </w:rPr>
  </w:style>
  <w:style w:type="character" w:styleId="CommentReference">
    <w:name w:val="annotation reference"/>
    <w:basedOn w:val="DefaultParagraphFont"/>
    <w:uiPriority w:val="99"/>
    <w:semiHidden/>
    <w:unhideWhenUsed/>
    <w:rsid w:val="00FF2226"/>
    <w:rPr>
      <w:sz w:val="16"/>
      <w:szCs w:val="16"/>
    </w:rPr>
  </w:style>
  <w:style w:type="paragraph" w:styleId="CommentText">
    <w:name w:val="annotation text"/>
    <w:basedOn w:val="Normal"/>
    <w:link w:val="CommentTextChar"/>
    <w:uiPriority w:val="99"/>
    <w:unhideWhenUsed/>
    <w:rsid w:val="00FF2226"/>
    <w:rPr>
      <w:sz w:val="20"/>
    </w:rPr>
  </w:style>
  <w:style w:type="character" w:customStyle="1" w:styleId="CommentTextChar">
    <w:name w:val="Comment Text Char"/>
    <w:basedOn w:val="DefaultParagraphFont"/>
    <w:link w:val="CommentText"/>
    <w:uiPriority w:val="99"/>
    <w:rsid w:val="00FF22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F2226"/>
    <w:rPr>
      <w:b/>
      <w:bCs/>
    </w:rPr>
  </w:style>
  <w:style w:type="character" w:customStyle="1" w:styleId="CommentSubjectChar">
    <w:name w:val="Comment Subject Char"/>
    <w:basedOn w:val="CommentTextChar"/>
    <w:link w:val="CommentSubject"/>
    <w:uiPriority w:val="99"/>
    <w:semiHidden/>
    <w:rsid w:val="00FF2226"/>
    <w:rPr>
      <w:rFonts w:ascii="Arial" w:hAnsi="Arial"/>
      <w:b/>
      <w:bCs/>
      <w:lang w:eastAsia="en-US"/>
    </w:rPr>
  </w:style>
  <w:style w:type="paragraph" w:styleId="FootnoteText">
    <w:name w:val="footnote text"/>
    <w:basedOn w:val="Normal"/>
    <w:link w:val="FootnoteTextChar"/>
    <w:uiPriority w:val="99"/>
    <w:semiHidden/>
    <w:unhideWhenUsed/>
    <w:rsid w:val="00510C3A"/>
    <w:rPr>
      <w:color w:val="C00000"/>
      <w:sz w:val="20"/>
    </w:rPr>
  </w:style>
  <w:style w:type="character" w:customStyle="1" w:styleId="FootnoteTextChar">
    <w:name w:val="Footnote Text Char"/>
    <w:basedOn w:val="DefaultParagraphFont"/>
    <w:link w:val="FootnoteText"/>
    <w:uiPriority w:val="99"/>
    <w:semiHidden/>
    <w:rsid w:val="00510C3A"/>
    <w:rPr>
      <w:rFonts w:ascii="Arial" w:hAnsi="Arial"/>
      <w:color w:val="C00000"/>
      <w:lang w:eastAsia="en-US"/>
    </w:rPr>
  </w:style>
  <w:style w:type="character" w:styleId="FootnoteReference">
    <w:name w:val="footnote reference"/>
    <w:basedOn w:val="DefaultParagraphFont"/>
    <w:uiPriority w:val="99"/>
    <w:semiHidden/>
    <w:unhideWhenUsed/>
    <w:rsid w:val="00FF2226"/>
    <w:rPr>
      <w:vertAlign w:val="superscript"/>
    </w:rPr>
  </w:style>
  <w:style w:type="paragraph" w:customStyle="1" w:styleId="Notforpublication">
    <w:name w:val="Not for publication"/>
    <w:basedOn w:val="Normal"/>
    <w:link w:val="NotforpublicationChar"/>
    <w:qFormat/>
    <w:rsid w:val="00BA476D"/>
    <w:pPr>
      <w:pBdr>
        <w:top w:val="single" w:sz="4" w:space="2" w:color="auto"/>
        <w:left w:val="single" w:sz="4" w:space="0" w:color="auto"/>
        <w:bottom w:val="single" w:sz="4" w:space="2" w:color="auto"/>
        <w:right w:val="single" w:sz="4" w:space="0" w:color="auto"/>
      </w:pBdr>
      <w:shd w:val="pct5" w:color="auto" w:fill="auto"/>
      <w:spacing w:before="120" w:line="288" w:lineRule="auto"/>
      <w:contextualSpacing/>
      <w:jc w:val="center"/>
    </w:pPr>
    <w:rPr>
      <w:b/>
      <w:noProof/>
      <w:lang w:eastAsia="en-GB"/>
    </w:rPr>
  </w:style>
  <w:style w:type="character" w:customStyle="1" w:styleId="NotforpublicationChar">
    <w:name w:val="Not for publication Char"/>
    <w:basedOn w:val="DefaultParagraphFont"/>
    <w:link w:val="Notforpublication"/>
    <w:rsid w:val="00BA476D"/>
    <w:rPr>
      <w:rFonts w:ascii="Arial" w:hAnsi="Arial"/>
      <w:b/>
      <w:noProof/>
      <w:sz w:val="24"/>
      <w:shd w:val="pct5" w:color="auto" w:fill="auto"/>
    </w:rPr>
  </w:style>
  <w:style w:type="paragraph" w:customStyle="1" w:styleId="FieldHeadings">
    <w:name w:val="Field Headings"/>
    <w:basedOn w:val="Normal"/>
    <w:link w:val="FieldHeadingsChar"/>
    <w:qFormat/>
    <w:rsid w:val="00DB16B0"/>
    <w:pPr>
      <w:pBdr>
        <w:top w:val="single" w:sz="4" w:space="1" w:color="auto"/>
        <w:left w:val="single" w:sz="4" w:space="4" w:color="auto"/>
        <w:bottom w:val="single" w:sz="4" w:space="1" w:color="auto"/>
        <w:right w:val="single" w:sz="4" w:space="4" w:color="auto"/>
        <w:between w:val="single" w:sz="4" w:space="1" w:color="auto"/>
      </w:pBdr>
      <w:tabs>
        <w:tab w:val="bar" w:pos="3175"/>
        <w:tab w:val="left" w:pos="3232"/>
        <w:tab w:val="left" w:pos="5103"/>
      </w:tabs>
      <w:spacing w:after="0"/>
      <w:ind w:left="3232" w:hanging="3232"/>
    </w:pPr>
    <w:rPr>
      <w:b/>
    </w:rPr>
  </w:style>
  <w:style w:type="character" w:customStyle="1" w:styleId="FieldHeadingsField">
    <w:name w:val="Field Headings Field"/>
    <w:basedOn w:val="DefaultParagraphFont"/>
    <w:uiPriority w:val="1"/>
    <w:rsid w:val="004B04EB"/>
    <w:rPr>
      <w:rFonts w:ascii="Arial" w:hAnsi="Arial"/>
      <w:b/>
      <w:sz w:val="24"/>
      <w:lang w:eastAsia="en-US"/>
    </w:rPr>
  </w:style>
  <w:style w:type="character" w:styleId="LineNumber">
    <w:name w:val="line number"/>
    <w:basedOn w:val="DefaultParagraphFont"/>
    <w:uiPriority w:val="99"/>
    <w:semiHidden/>
    <w:unhideWhenUsed/>
    <w:rsid w:val="00802464"/>
  </w:style>
  <w:style w:type="paragraph" w:customStyle="1" w:styleId="ItemNo">
    <w:name w:val="Item No"/>
    <w:basedOn w:val="Normal"/>
    <w:link w:val="ItemNoChar"/>
    <w:qFormat/>
    <w:rsid w:val="006947EE"/>
    <w:pPr>
      <w:pBdr>
        <w:top w:val="single" w:sz="4" w:space="1" w:color="auto"/>
        <w:left w:val="single" w:sz="4" w:space="4" w:color="auto"/>
        <w:right w:val="single" w:sz="4" w:space="4" w:color="auto"/>
      </w:pBdr>
      <w:spacing w:after="0"/>
      <w:ind w:left="8959"/>
      <w:contextualSpacing/>
      <w:jc w:val="center"/>
    </w:pPr>
    <w:rPr>
      <w:b/>
      <w:sz w:val="36"/>
      <w:szCs w:val="48"/>
    </w:rPr>
  </w:style>
  <w:style w:type="paragraph" w:customStyle="1" w:styleId="SectionHeader2">
    <w:name w:val="Section Header 2"/>
    <w:basedOn w:val="SectionHeader"/>
    <w:link w:val="SectionHeader2Char"/>
    <w:qFormat/>
    <w:rsid w:val="009F50A9"/>
    <w:pPr>
      <w:spacing w:after="240"/>
    </w:pPr>
    <w:rPr>
      <w:u w:val="single"/>
    </w:rPr>
  </w:style>
  <w:style w:type="character" w:customStyle="1" w:styleId="ItemNoChar">
    <w:name w:val="Item No Char"/>
    <w:basedOn w:val="DefaultParagraphFont"/>
    <w:link w:val="ItemNo"/>
    <w:rsid w:val="006947EE"/>
    <w:rPr>
      <w:rFonts w:ascii="Arial" w:hAnsi="Arial"/>
      <w:b/>
      <w:sz w:val="36"/>
      <w:szCs w:val="48"/>
      <w:lang w:eastAsia="en-US"/>
    </w:rPr>
  </w:style>
  <w:style w:type="character" w:customStyle="1" w:styleId="FieldHeadingsChar">
    <w:name w:val="Field Headings Char"/>
    <w:basedOn w:val="DefaultParagraphFont"/>
    <w:link w:val="FieldHeadings"/>
    <w:rsid w:val="00DB16B0"/>
    <w:rPr>
      <w:rFonts w:ascii="Arial" w:hAnsi="Arial"/>
      <w:b/>
      <w:sz w:val="24"/>
      <w:lang w:eastAsia="en-US"/>
    </w:rPr>
  </w:style>
  <w:style w:type="character" w:customStyle="1" w:styleId="SectionHeader2Char">
    <w:name w:val="Section Header 2 Char"/>
    <w:basedOn w:val="SectionHeaderChar"/>
    <w:link w:val="SectionHeader2"/>
    <w:rsid w:val="009F50A9"/>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144595">
      <w:bodyDiv w:val="1"/>
      <w:marLeft w:val="0"/>
      <w:marRight w:val="0"/>
      <w:marTop w:val="0"/>
      <w:marBottom w:val="0"/>
      <w:divBdr>
        <w:top w:val="none" w:sz="0" w:space="0" w:color="auto"/>
        <w:left w:val="none" w:sz="0" w:space="0" w:color="auto"/>
        <w:bottom w:val="none" w:sz="0" w:space="0" w:color="auto"/>
        <w:right w:val="none" w:sz="0" w:space="0" w:color="auto"/>
      </w:divBdr>
    </w:div>
    <w:div w:id="963731651">
      <w:bodyDiv w:val="1"/>
      <w:marLeft w:val="0"/>
      <w:marRight w:val="0"/>
      <w:marTop w:val="0"/>
      <w:marBottom w:val="0"/>
      <w:divBdr>
        <w:top w:val="none" w:sz="0" w:space="0" w:color="auto"/>
        <w:left w:val="none" w:sz="0" w:space="0" w:color="auto"/>
        <w:bottom w:val="none" w:sz="0" w:space="0" w:color="auto"/>
        <w:right w:val="none" w:sz="0" w:space="0" w:color="auto"/>
      </w:divBdr>
    </w:div>
    <w:div w:id="20324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image" Target="media/image15.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03BF4149E7431B91B5CDD2E95EC00C"/>
        <w:category>
          <w:name w:val="General"/>
          <w:gallery w:val="placeholder"/>
        </w:category>
        <w:types>
          <w:type w:val="bbPlcHdr"/>
        </w:types>
        <w:behaviors>
          <w:behavior w:val="content"/>
        </w:behaviors>
        <w:guid w:val="{0293BE1B-884C-4ACD-8BC3-09C8597B57F1}"/>
      </w:docPartPr>
      <w:docPartBody>
        <w:p w:rsidR="00DB3F88" w:rsidRDefault="00DB3F88">
          <w:pPr>
            <w:pStyle w:val="4B03BF4149E7431B91B5CDD2E95EC00C"/>
          </w:pPr>
          <w:r w:rsidRPr="00046407">
            <w:rPr>
              <w:rStyle w:val="FieldHeadingsField"/>
            </w:rPr>
            <w:t>Click here to enter a date.</w:t>
          </w:r>
        </w:p>
      </w:docPartBody>
    </w:docPart>
    <w:docPart>
      <w:docPartPr>
        <w:name w:val="17A8020A0801443AB4F23E0779B74025"/>
        <w:category>
          <w:name w:val="General"/>
          <w:gallery w:val="placeholder"/>
        </w:category>
        <w:types>
          <w:type w:val="bbPlcHdr"/>
        </w:types>
        <w:behaviors>
          <w:behavior w:val="content"/>
        </w:behaviors>
        <w:guid w:val="{79A0C493-A95B-46CE-8E7C-2079FBA3D04F}"/>
      </w:docPartPr>
      <w:docPartBody>
        <w:p w:rsidR="00DB3F88" w:rsidRDefault="00DB3F88">
          <w:pPr>
            <w:pStyle w:val="17A8020A0801443AB4F23E0779B74025"/>
          </w:pPr>
          <w:r w:rsidRPr="00046407">
            <w:rPr>
              <w:rStyle w:val="FieldHeadingsField"/>
            </w:rPr>
            <w:t>Click here to enter text.</w:t>
          </w:r>
        </w:p>
      </w:docPartBody>
    </w:docPart>
    <w:docPart>
      <w:docPartPr>
        <w:name w:val="438EA4C786484297861B9206A034DA93"/>
        <w:category>
          <w:name w:val="General"/>
          <w:gallery w:val="placeholder"/>
        </w:category>
        <w:types>
          <w:type w:val="bbPlcHdr"/>
        </w:types>
        <w:behaviors>
          <w:behavior w:val="content"/>
        </w:behaviors>
        <w:guid w:val="{82CCAA83-3FF2-4C69-BB7A-ED7E405BF983}"/>
      </w:docPartPr>
      <w:docPartBody>
        <w:p w:rsidR="00DB3F88" w:rsidRDefault="00DB3F88">
          <w:pPr>
            <w:pStyle w:val="438EA4C786484297861B9206A034DA93"/>
          </w:pPr>
          <w:r w:rsidRPr="00BA476D">
            <w:rPr>
              <w:rStyle w:val="FieldHeadingsFiel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88"/>
    <w:rsid w:val="00051396"/>
    <w:rsid w:val="001A1FFA"/>
    <w:rsid w:val="0038316B"/>
    <w:rsid w:val="00500F07"/>
    <w:rsid w:val="005F790F"/>
    <w:rsid w:val="00C055E7"/>
    <w:rsid w:val="00C33B0B"/>
    <w:rsid w:val="00C737BE"/>
    <w:rsid w:val="00C93DE5"/>
    <w:rsid w:val="00D64D97"/>
    <w:rsid w:val="00DB3F88"/>
    <w:rsid w:val="00DB7106"/>
    <w:rsid w:val="00F2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customStyle="1" w:styleId="FieldHeadingsField">
    <w:name w:val="Field Headings Field"/>
    <w:basedOn w:val="DefaultParagraphFont"/>
    <w:uiPriority w:val="1"/>
    <w:rPr>
      <w:rFonts w:ascii="Arial" w:hAnsi="Arial"/>
      <w:b/>
      <w:sz w:val="24"/>
      <w:lang w:eastAsia="en-US"/>
    </w:rPr>
  </w:style>
  <w:style w:type="paragraph" w:customStyle="1" w:styleId="4B03BF4149E7431B91B5CDD2E95EC00C">
    <w:name w:val="4B03BF4149E7431B91B5CDD2E95EC00C"/>
  </w:style>
  <w:style w:type="paragraph" w:customStyle="1" w:styleId="17A8020A0801443AB4F23E0779B74025">
    <w:name w:val="17A8020A0801443AB4F23E0779B74025"/>
  </w:style>
  <w:style w:type="paragraph" w:customStyle="1" w:styleId="438EA4C786484297861B9206A034DA93">
    <w:name w:val="438EA4C786484297861B9206A034D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D84861D34FD4A93997BD850B31620" ma:contentTypeVersion="8" ma:contentTypeDescription="Create a new document." ma:contentTypeScope="" ma:versionID="9f0d53fe64f0fa05839b7d4bfb4a883c">
  <xsd:schema xmlns:xsd="http://www.w3.org/2001/XMLSchema" xmlns:xs="http://www.w3.org/2001/XMLSchema" xmlns:p="http://schemas.microsoft.com/office/2006/metadata/properties" xmlns:ns2="9fa1f539-d261-473d-86aa-dae3b48d02fa" xmlns:ns3="547184d2-fab4-4901-a41b-56c59448f477" xmlns:ns4="8d91a4bc-9898-401a-8870-c039b240d984" targetNamespace="http://schemas.microsoft.com/office/2006/metadata/properties" ma:root="true" ma:fieldsID="2bd30ddd674d1ff98f2518ba51263086" ns2:_="" ns3:_="" ns4:_="">
    <xsd:import namespace="9fa1f539-d261-473d-86aa-dae3b48d02fa"/>
    <xsd:import namespace="547184d2-fab4-4901-a41b-56c59448f477"/>
    <xsd:import namespace="8d91a4bc-9898-401a-8870-c039b240d984"/>
    <xsd:element name="properties">
      <xsd:complexType>
        <xsd:sequence>
          <xsd:element name="documentManagement">
            <xsd:complexType>
              <xsd:all>
                <xsd:element ref="ns2:TagsTaxHTField0" minOccurs="0"/>
                <xsd:element ref="ns3:TaxCatchAll" minOccurs="0"/>
                <xsd:element ref="ns4:MediaServiceMetadata" minOccurs="0"/>
                <xsd:element ref="ns4:MediaServiceFastMetadata" minOccurs="0"/>
                <xsd:element ref="ns4: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f539-d261-473d-86aa-dae3b48d02fa" elementFormDefault="qualified">
    <xsd:import namespace="http://schemas.microsoft.com/office/2006/documentManagement/types"/>
    <xsd:import namespace="http://schemas.microsoft.com/office/infopath/2007/PartnerControls"/>
    <xsd:element name="TagsTaxHTField0" ma:index="8" nillable="true" ma:taxonomy="true" ma:internalName="TagsTaxHTField0" ma:taxonomyFieldName="Tags" ma:displayName="Tags" ma:default="" ma:fieldId="{0751d7fd-00a1-45c9-99dd-0c281e3c8660}" ma:sspId="5f754152-19bd-41cf-a596-d81a73990b66" ma:termSetId="0888c7ad-1327-4901-a45d-3015d0304f2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184d2-fab4-4901-a41b-56c59448f4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e5bdb86-b82a-47d9-86d3-2f0e16627aef}" ma:internalName="TaxCatchAll" ma:showField="CatchAllData" ma:web="547184d2-fab4-4901-a41b-56c59448f477">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91a4bc-9898-401a-8870-c039b240d9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TaxHTField0 xmlns="9fa1f539-d261-473d-86aa-dae3b48d02fa">
      <Terms xmlns="http://schemas.microsoft.com/office/infopath/2007/PartnerControls"/>
    </TagsTaxHTField0>
    <TaxCatchAll xmlns="547184d2-fab4-4901-a41b-56c59448f4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77E4-0BB4-435E-9068-C3B6532B3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f539-d261-473d-86aa-dae3b48d02fa"/>
    <ds:schemaRef ds:uri="547184d2-fab4-4901-a41b-56c59448f477"/>
    <ds:schemaRef ds:uri="8d91a4bc-9898-401a-8870-c039b240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9B4B9-B520-4943-B1B2-AFB11D181DCF}">
  <ds:schemaRefs>
    <ds:schemaRef ds:uri="http://schemas.microsoft.com/sharepoint/v3/contenttype/forms"/>
  </ds:schemaRefs>
</ds:datastoreItem>
</file>

<file path=customXml/itemProps3.xml><?xml version="1.0" encoding="utf-8"?>
<ds:datastoreItem xmlns:ds="http://schemas.openxmlformats.org/officeDocument/2006/customXml" ds:itemID="{EBAD6046-44DD-446F-9BC7-947B478F8B09}">
  <ds:schemaRefs>
    <ds:schemaRef ds:uri="http://schemas.microsoft.com/office/2006/documentManagement/types"/>
    <ds:schemaRef ds:uri="http://purl.org/dc/elements/1.1/"/>
    <ds:schemaRef ds:uri="http://schemas.microsoft.com/office/2006/metadata/properties"/>
    <ds:schemaRef ds:uri="9fa1f539-d261-473d-86aa-dae3b48d02fa"/>
    <ds:schemaRef ds:uri="547184d2-fab4-4901-a41b-56c59448f477"/>
    <ds:schemaRef ds:uri="8d91a4bc-9898-401a-8870-c039b240d984"/>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CC918DF-B75B-4BD6-A3E0-E773AA95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1828</Words>
  <Characters>9139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Janes, Debbie</dc:creator>
  <cp:lastModifiedBy>Astbury, Claire</cp:lastModifiedBy>
  <cp:revision>2</cp:revision>
  <cp:lastPrinted>2017-01-31T16:55:00Z</cp:lastPrinted>
  <dcterms:created xsi:type="dcterms:W3CDTF">2024-12-18T12:09:00Z</dcterms:created>
  <dcterms:modified xsi:type="dcterms:W3CDTF">2024-12-18T12:09:00Z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0x0101009E6D84861D34FD4A93997BD850B31620</vt:lpwstr>
  </property>
</Properties>
</file>